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2D623">
      <w:pPr>
        <w:outlineLvl w:val="1"/>
        <w:rPr>
          <w:rFonts w:hint="eastAsia" w:ascii="Times New Roman" w:hAnsi="Times New Roman" w:eastAsia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37C37047">
      <w:pPr>
        <w:spacing w:line="360" w:lineRule="auto"/>
        <w:jc w:val="center"/>
        <w:outlineLvl w:val="2"/>
        <w:rPr>
          <w:rFonts w:hint="eastAsia" w:ascii="Times New Roman" w:hAnsi="Times New Roman" w:eastAsia="华文中宋" w:cs="华文中宋"/>
          <w:b/>
          <w:sz w:val="36"/>
          <w:szCs w:val="36"/>
        </w:rPr>
      </w:pPr>
      <w:bookmarkStart w:id="0" w:name="_GoBack"/>
      <w:r>
        <w:rPr>
          <w:rFonts w:hint="eastAsia" w:ascii="Times New Roman" w:hAnsi="Times New Roman" w:eastAsia="华文中宋" w:cs="华文中宋"/>
          <w:b/>
          <w:sz w:val="36"/>
          <w:szCs w:val="36"/>
        </w:rPr>
        <w:t>荔枝龙眼园测产办法</w:t>
      </w:r>
      <w:bookmarkEnd w:id="0"/>
    </w:p>
    <w:p w14:paraId="5B51F7E4">
      <w:pPr>
        <w:spacing w:line="360" w:lineRule="auto"/>
        <w:jc w:val="center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8"/>
          <w:szCs w:val="28"/>
        </w:rPr>
        <w:t>（由</w:t>
      </w:r>
      <w:r>
        <w:rPr>
          <w:rFonts w:ascii="Times New Roman" w:hAnsi="Times New Roman" w:eastAsia="仿宋_GB2312"/>
          <w:sz w:val="28"/>
          <w:szCs w:val="28"/>
        </w:rPr>
        <w:t>国家荔枝</w:t>
      </w:r>
      <w:r>
        <w:rPr>
          <w:rFonts w:hint="eastAsia" w:ascii="Times New Roman" w:hAnsi="Times New Roman" w:eastAsia="仿宋_GB2312"/>
          <w:sz w:val="28"/>
          <w:szCs w:val="28"/>
        </w:rPr>
        <w:t>龙眼</w:t>
      </w:r>
      <w:r>
        <w:rPr>
          <w:rFonts w:ascii="Times New Roman" w:hAnsi="Times New Roman" w:eastAsia="仿宋_GB2312"/>
          <w:sz w:val="28"/>
          <w:szCs w:val="28"/>
        </w:rPr>
        <w:t>产业技术研发中心</w:t>
      </w:r>
      <w:r>
        <w:rPr>
          <w:rFonts w:hint="eastAsia" w:ascii="Times New Roman" w:hAnsi="Times New Roman" w:eastAsia="仿宋_GB2312"/>
          <w:sz w:val="28"/>
          <w:szCs w:val="28"/>
        </w:rPr>
        <w:t>制定，</w:t>
      </w:r>
      <w:r>
        <w:rPr>
          <w:rFonts w:ascii="Times New Roman" w:hAnsi="Times New Roman" w:eastAsia="仿宋_GB2312"/>
          <w:sz w:val="28"/>
          <w:szCs w:val="28"/>
        </w:rPr>
        <w:t>并经体系审议通过</w:t>
      </w:r>
      <w:r>
        <w:rPr>
          <w:rFonts w:hint="eastAsia" w:ascii="Times New Roman" w:hAnsi="Times New Roman" w:eastAsia="仿宋_GB2312"/>
          <w:sz w:val="28"/>
          <w:szCs w:val="28"/>
        </w:rPr>
        <w:t>）</w:t>
      </w:r>
    </w:p>
    <w:p w14:paraId="3B84D0A4">
      <w:pPr>
        <w:spacing w:line="360" w:lineRule="auto"/>
        <w:rPr>
          <w:rFonts w:hint="eastAsia" w:ascii="Times New Roman" w:hAnsi="Times New Roman" w:eastAsia="仿宋_GB2312"/>
          <w:sz w:val="22"/>
        </w:rPr>
      </w:pPr>
    </w:p>
    <w:p w14:paraId="39E8C1D9">
      <w:pPr>
        <w:tabs>
          <w:tab w:val="left" w:pos="36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1.</w:t>
      </w:r>
      <w:r>
        <w:rPr>
          <w:rFonts w:ascii="Times New Roman" w:hAnsi="Times New Roman" w:eastAsia="仿宋_GB2312"/>
          <w:sz w:val="32"/>
          <w:szCs w:val="28"/>
        </w:rPr>
        <w:t>本办法适用全国荔枝/龙眼高产园</w:t>
      </w:r>
      <w:r>
        <w:rPr>
          <w:rFonts w:hint="eastAsia" w:ascii="Times New Roman" w:hAnsi="Times New Roman" w:eastAsia="仿宋_GB2312"/>
          <w:sz w:val="32"/>
          <w:szCs w:val="28"/>
        </w:rPr>
        <w:t>竞</w:t>
      </w:r>
      <w:r>
        <w:rPr>
          <w:rFonts w:ascii="Times New Roman" w:hAnsi="Times New Roman" w:eastAsia="仿宋_GB2312"/>
          <w:sz w:val="32"/>
          <w:szCs w:val="28"/>
        </w:rPr>
        <w:t>赛产量测定工作。</w:t>
      </w:r>
    </w:p>
    <w:p w14:paraId="488F53A5">
      <w:pPr>
        <w:tabs>
          <w:tab w:val="left" w:pos="36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2.</w:t>
      </w:r>
      <w:r>
        <w:rPr>
          <w:rFonts w:ascii="Times New Roman" w:hAnsi="Times New Roman" w:eastAsia="仿宋_GB2312"/>
          <w:sz w:val="32"/>
          <w:szCs w:val="28"/>
        </w:rPr>
        <w:t>成立测产小组。测产小组由各省区南亚热作主管部门领导、国家荔枝龙眼产业技术体系区域岗位</w:t>
      </w:r>
      <w:r>
        <w:rPr>
          <w:rFonts w:hint="eastAsia" w:ascii="Times New Roman" w:hAnsi="Times New Roman" w:eastAsia="仿宋_GB2312"/>
          <w:sz w:val="32"/>
          <w:szCs w:val="28"/>
        </w:rPr>
        <w:t>和</w:t>
      </w:r>
      <w:r>
        <w:rPr>
          <w:rFonts w:ascii="Times New Roman" w:hAnsi="Times New Roman" w:eastAsia="仿宋_GB2312"/>
          <w:sz w:val="32"/>
          <w:szCs w:val="28"/>
        </w:rPr>
        <w:t>试验站专家、地方农业技术推广中心专家等共5人组成，由推举的组长负责组织测产工作。</w:t>
      </w:r>
    </w:p>
    <w:p w14:paraId="4DF1B8D5">
      <w:pPr>
        <w:tabs>
          <w:tab w:val="left" w:pos="36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3.</w:t>
      </w:r>
      <w:r>
        <w:rPr>
          <w:rFonts w:ascii="Times New Roman" w:hAnsi="Times New Roman" w:eastAsia="仿宋_GB2312"/>
          <w:sz w:val="32"/>
          <w:szCs w:val="28"/>
        </w:rPr>
        <w:t>测产过程包括以下步骤：</w:t>
      </w:r>
    </w:p>
    <w:p w14:paraId="1662B98E">
      <w:pPr>
        <w:tabs>
          <w:tab w:val="left" w:pos="72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（1）</w:t>
      </w:r>
      <w:r>
        <w:rPr>
          <w:rFonts w:ascii="Times New Roman" w:hAnsi="Times New Roman" w:eastAsia="仿宋_GB2312"/>
          <w:sz w:val="32"/>
          <w:szCs w:val="28"/>
        </w:rPr>
        <w:t>测产区域规定：被选定的标准果园，在各个拐点做好标记，记载该区域的面积、荔枝/龙眼品种、树龄和株数。</w:t>
      </w:r>
    </w:p>
    <w:p w14:paraId="067D5C34">
      <w:pPr>
        <w:tabs>
          <w:tab w:val="left" w:pos="72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（2）</w:t>
      </w:r>
      <w:r>
        <w:rPr>
          <w:rFonts w:ascii="Times New Roman" w:hAnsi="Times New Roman" w:eastAsia="仿宋_GB2312"/>
          <w:sz w:val="32"/>
          <w:szCs w:val="28"/>
        </w:rPr>
        <w:t>树体归类：按照成花、挂果的末端枝条比例，把全部植株归为三类：</w:t>
      </w:r>
    </w:p>
    <w:p w14:paraId="0A224C75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ascii="Times New Roman" w:hAnsi="Times New Roman" w:eastAsia="仿宋_GB2312"/>
          <w:sz w:val="32"/>
          <w:szCs w:val="28"/>
        </w:rPr>
        <w:t>A类：成花挂果比例75%以上（即2/3以上）</w:t>
      </w:r>
    </w:p>
    <w:p w14:paraId="65B0DA3E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ascii="Times New Roman" w:hAnsi="Times New Roman" w:eastAsia="仿宋_GB2312"/>
          <w:sz w:val="32"/>
          <w:szCs w:val="28"/>
        </w:rPr>
        <w:t>B类：成花挂果比例25%~75%（即1/3~2/3）</w:t>
      </w:r>
    </w:p>
    <w:p w14:paraId="3389FB82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ascii="Times New Roman" w:hAnsi="Times New Roman" w:eastAsia="仿宋_GB2312"/>
          <w:sz w:val="32"/>
          <w:szCs w:val="28"/>
        </w:rPr>
        <w:t>C类：成花挂果比例0~25%（即1/3以下）</w:t>
      </w:r>
    </w:p>
    <w:p w14:paraId="02972E4E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ascii="Times New Roman" w:hAnsi="Times New Roman" w:eastAsia="仿宋_GB2312"/>
          <w:sz w:val="32"/>
          <w:szCs w:val="28"/>
        </w:rPr>
        <w:t>分别记载每个品种每类植株的株数。</w:t>
      </w:r>
    </w:p>
    <w:p w14:paraId="7E07EF81">
      <w:pPr>
        <w:spacing w:line="360" w:lineRule="auto"/>
        <w:ind w:left="-105" w:leftChars="-50"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（3）</w:t>
      </w:r>
      <w:r>
        <w:rPr>
          <w:rFonts w:ascii="Times New Roman" w:hAnsi="Times New Roman" w:eastAsia="仿宋_GB2312"/>
          <w:sz w:val="32"/>
          <w:szCs w:val="28"/>
        </w:rPr>
        <w:t>单株果重和总产量</w:t>
      </w:r>
      <w:r>
        <w:rPr>
          <w:rFonts w:hint="eastAsia" w:ascii="Times New Roman" w:hAnsi="Times New Roman" w:eastAsia="仿宋_GB2312"/>
          <w:sz w:val="32"/>
          <w:szCs w:val="28"/>
        </w:rPr>
        <w:t>测定：</w:t>
      </w:r>
      <w:r>
        <w:rPr>
          <w:rFonts w:ascii="Times New Roman" w:hAnsi="Times New Roman" w:eastAsia="仿宋_GB2312"/>
          <w:sz w:val="32"/>
          <w:szCs w:val="28"/>
        </w:rPr>
        <w:t>在每类植株中随机抽取3株，采摘全部果实，去除枝叶（非果实杂质量应不超过总质量的5%），称</w:t>
      </w:r>
      <w:r>
        <w:rPr>
          <w:rFonts w:hint="eastAsia" w:ascii="Times New Roman" w:hAnsi="Times New Roman" w:eastAsia="仿宋_GB2312"/>
          <w:sz w:val="32"/>
          <w:szCs w:val="28"/>
        </w:rPr>
        <w:t>取</w:t>
      </w:r>
      <w:r>
        <w:rPr>
          <w:rFonts w:ascii="Times New Roman" w:hAnsi="Times New Roman" w:eastAsia="仿宋_GB2312"/>
          <w:sz w:val="32"/>
          <w:szCs w:val="28"/>
        </w:rPr>
        <w:t>重</w:t>
      </w:r>
      <w:r>
        <w:rPr>
          <w:rFonts w:hint="eastAsia" w:ascii="Times New Roman" w:hAnsi="Times New Roman" w:eastAsia="仿宋_GB2312"/>
          <w:sz w:val="32"/>
          <w:szCs w:val="28"/>
        </w:rPr>
        <w:t>量</w:t>
      </w:r>
      <w:r>
        <w:rPr>
          <w:rFonts w:ascii="Times New Roman" w:hAnsi="Times New Roman" w:eastAsia="仿宋_GB2312"/>
          <w:sz w:val="32"/>
          <w:szCs w:val="28"/>
        </w:rPr>
        <w:t>，精确至0.1kg。计算单株果重和总产量。</w:t>
      </w:r>
    </w:p>
    <w:p w14:paraId="1CD128A8">
      <w:pPr>
        <w:tabs>
          <w:tab w:val="left" w:pos="720"/>
        </w:tabs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（4）</w:t>
      </w:r>
      <w:r>
        <w:rPr>
          <w:rFonts w:ascii="Times New Roman" w:hAnsi="Times New Roman" w:eastAsia="仿宋_GB2312"/>
          <w:sz w:val="32"/>
          <w:szCs w:val="28"/>
        </w:rPr>
        <w:t>单果重和病虫果率测定：随机选取果实30个，去除果梗</w:t>
      </w:r>
      <w:r>
        <w:rPr>
          <w:rFonts w:hint="eastAsia" w:ascii="Times New Roman" w:hAnsi="Times New Roman" w:eastAsia="仿宋_GB2312"/>
          <w:sz w:val="32"/>
          <w:szCs w:val="28"/>
        </w:rPr>
        <w:t>后</w:t>
      </w:r>
      <w:r>
        <w:rPr>
          <w:rFonts w:ascii="Times New Roman" w:hAnsi="Times New Roman" w:eastAsia="仿宋_GB2312"/>
          <w:sz w:val="32"/>
          <w:szCs w:val="28"/>
        </w:rPr>
        <w:t>称重</w:t>
      </w:r>
      <w:r>
        <w:rPr>
          <w:rFonts w:hint="eastAsia" w:ascii="Times New Roman" w:hAnsi="Times New Roman" w:eastAsia="仿宋_GB2312"/>
          <w:sz w:val="32"/>
          <w:szCs w:val="28"/>
        </w:rPr>
        <w:t>，</w:t>
      </w:r>
      <w:r>
        <w:rPr>
          <w:rFonts w:ascii="Times New Roman" w:hAnsi="Times New Roman" w:eastAsia="仿宋_GB2312"/>
          <w:sz w:val="32"/>
          <w:szCs w:val="28"/>
        </w:rPr>
        <w:t>同时仔细检查病虫孔，记载病虫果数。计算单果重、病虫果率</w:t>
      </w:r>
      <w:r>
        <w:rPr>
          <w:rFonts w:hint="eastAsia" w:ascii="Times New Roman" w:hAnsi="Times New Roman" w:eastAsia="仿宋_GB2312"/>
          <w:sz w:val="32"/>
          <w:szCs w:val="28"/>
        </w:rPr>
        <w:t>。</w:t>
      </w:r>
    </w:p>
    <w:p w14:paraId="6C4E9618">
      <w:pPr>
        <w:pStyle w:val="3"/>
        <w:ind w:left="0" w:leftChars="0" w:firstLine="640"/>
        <w:rPr>
          <w:rFonts w:ascii="Times New Roman" w:hAnsi="Times New Roman"/>
          <w:highlight w:val="none"/>
        </w:rPr>
      </w:pPr>
      <w:r>
        <w:rPr>
          <w:rFonts w:hint="eastAsia" w:ascii="Times New Roman" w:hAnsi="Times New Roman" w:eastAsia="仿宋_GB2312"/>
          <w:sz w:val="32"/>
          <w:szCs w:val="28"/>
          <w:highlight w:val="none"/>
        </w:rPr>
        <w:t>（5）安全性指标检测：</w:t>
      </w:r>
      <w:r>
        <w:rPr>
          <w:rFonts w:ascii="Times New Roman" w:hAnsi="Times New Roman" w:eastAsia="仿宋_GB2312"/>
          <w:sz w:val="32"/>
          <w:szCs w:val="32"/>
          <w:highlight w:val="none"/>
        </w:rPr>
        <w:t>样品于收到当日或次日进行化验分析，采集相关数据。安全指标根据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《食品安全国家标准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食品中农药最大残留限量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GB2763、GB2763.1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）规定检测。依据</w:t>
      </w:r>
      <w:r>
        <w:rPr>
          <w:rFonts w:ascii="Times New Roman" w:hAnsi="Times New Roman" w:eastAsia="仿宋_GB2312"/>
          <w:sz w:val="32"/>
          <w:szCs w:val="32"/>
          <w:highlight w:val="none"/>
        </w:rPr>
        <w:t>在荔枝上已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登记</w:t>
      </w:r>
      <w:r>
        <w:rPr>
          <w:rFonts w:ascii="Times New Roman" w:hAnsi="Times New Roman" w:eastAsia="仿宋_GB2312"/>
          <w:sz w:val="32"/>
          <w:szCs w:val="32"/>
          <w:highlight w:val="none"/>
        </w:rPr>
        <w:t>农药残留是否超标和是否使用未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登记</w:t>
      </w:r>
      <w:r>
        <w:rPr>
          <w:rFonts w:ascii="Times New Roman" w:hAnsi="Times New Roman" w:eastAsia="仿宋_GB2312"/>
          <w:sz w:val="32"/>
          <w:szCs w:val="32"/>
          <w:highlight w:val="none"/>
        </w:rPr>
        <w:t>农药的情况进行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打</w:t>
      </w:r>
      <w:r>
        <w:rPr>
          <w:rFonts w:ascii="Times New Roman" w:hAnsi="Times New Roman" w:eastAsia="仿宋_GB2312"/>
          <w:sz w:val="32"/>
          <w:szCs w:val="32"/>
          <w:highlight w:val="none"/>
        </w:rPr>
        <w:t>分，若均未检出，则为10分，每检出1项，扣1分，直至0分。若检出禁限用农药，则不予参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  <w:highlight w:val="none"/>
        </w:rPr>
        <w:t>。</w:t>
      </w:r>
    </w:p>
    <w:p w14:paraId="5EAE6EBB">
      <w:pPr>
        <w:tabs>
          <w:tab w:val="left" w:pos="360"/>
        </w:tabs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28"/>
        </w:rPr>
      </w:pPr>
      <w:r>
        <w:rPr>
          <w:rFonts w:hint="eastAsia" w:ascii="Times New Roman" w:hAnsi="Times New Roman" w:eastAsia="仿宋_GB2312"/>
          <w:sz w:val="32"/>
          <w:szCs w:val="28"/>
        </w:rPr>
        <w:t>4.</w:t>
      </w:r>
      <w:r>
        <w:rPr>
          <w:rFonts w:ascii="Times New Roman" w:hAnsi="Times New Roman" w:eastAsia="仿宋_GB2312"/>
          <w:sz w:val="32"/>
          <w:szCs w:val="28"/>
        </w:rPr>
        <w:t>测产结果记录入下表中：</w:t>
      </w:r>
    </w:p>
    <w:p w14:paraId="079B3B14">
      <w:pPr>
        <w:spacing w:line="360" w:lineRule="auto"/>
        <w:rPr>
          <w:rFonts w:ascii="Times New Roman" w:hAnsi="Times New Roman" w:eastAsia="仿宋_GB2312"/>
          <w:sz w:val="28"/>
        </w:rPr>
      </w:pPr>
    </w:p>
    <w:p w14:paraId="75354D96">
      <w:pPr>
        <w:spacing w:line="360" w:lineRule="auto"/>
        <w:jc w:val="center"/>
        <w:rPr>
          <w:rFonts w:ascii="Times New Roman" w:hAnsi="Times New Roman" w:eastAsia="仿宋_GB2312"/>
          <w:b/>
          <w:sz w:val="32"/>
          <w:szCs w:val="28"/>
        </w:rPr>
      </w:pPr>
      <w:r>
        <w:rPr>
          <w:rFonts w:ascii="Times New Roman" w:hAnsi="Times New Roman" w:eastAsia="仿宋_GB2312"/>
          <w:b/>
          <w:sz w:val="32"/>
          <w:szCs w:val="28"/>
          <w:u w:val="single"/>
        </w:rPr>
        <w:t xml:space="preserve">                </w:t>
      </w:r>
      <w:r>
        <w:rPr>
          <w:rFonts w:ascii="Times New Roman" w:hAnsi="Times New Roman" w:eastAsia="仿宋_GB2312"/>
          <w:b/>
          <w:sz w:val="32"/>
          <w:szCs w:val="28"/>
        </w:rPr>
        <w:t>果园荔枝</w:t>
      </w:r>
      <w:r>
        <w:rPr>
          <w:rFonts w:hint="eastAsia" w:ascii="Times New Roman" w:hAnsi="Times New Roman" w:eastAsia="仿宋_GB2312"/>
          <w:b/>
          <w:sz w:val="32"/>
          <w:szCs w:val="28"/>
        </w:rPr>
        <w:t>/龙眼</w:t>
      </w:r>
      <w:r>
        <w:rPr>
          <w:rFonts w:ascii="Times New Roman" w:hAnsi="Times New Roman" w:eastAsia="仿宋_GB2312"/>
          <w:b/>
          <w:sz w:val="32"/>
          <w:szCs w:val="28"/>
        </w:rPr>
        <w:t>产量记载表</w:t>
      </w:r>
    </w:p>
    <w:p w14:paraId="0697D5D6">
      <w:pPr>
        <w:adjustRightInd w:val="0"/>
        <w:snapToGrid w:val="0"/>
        <w:rPr>
          <w:rFonts w:ascii="Times New Roman" w:hAnsi="Times New Roman" w:eastAsia="仿宋_GB2312"/>
          <w:b/>
          <w:sz w:val="28"/>
        </w:rPr>
      </w:pPr>
    </w:p>
    <w:p w14:paraId="3E92BC85">
      <w:pPr>
        <w:spacing w:line="360" w:lineRule="auto"/>
        <w:rPr>
          <w:rFonts w:ascii="Times New Roman" w:hAnsi="Times New Roman" w:eastAsia="仿宋_GB2312"/>
          <w:sz w:val="28"/>
          <w:u w:val="single"/>
        </w:rPr>
      </w:pPr>
      <w:r>
        <w:rPr>
          <w:rFonts w:ascii="Times New Roman" w:hAnsi="Times New Roman" w:eastAsia="仿宋_GB2312"/>
          <w:sz w:val="28"/>
        </w:rPr>
        <w:t>测产日期：</w:t>
      </w:r>
      <w:r>
        <w:rPr>
          <w:rFonts w:ascii="Times New Roman" w:hAnsi="Times New Roman" w:eastAsia="仿宋_GB2312"/>
          <w:sz w:val="28"/>
          <w:u w:val="single"/>
        </w:rPr>
        <w:t xml:space="preserve">     </w:t>
      </w:r>
      <w:r>
        <w:rPr>
          <w:rFonts w:ascii="Times New Roman" w:hAnsi="Times New Roman" w:eastAsia="仿宋_GB2312"/>
          <w:sz w:val="28"/>
        </w:rPr>
        <w:t>年</w:t>
      </w:r>
      <w:r>
        <w:rPr>
          <w:rFonts w:ascii="Times New Roman" w:hAnsi="Times New Roman" w:eastAsia="仿宋_GB2312"/>
          <w:sz w:val="28"/>
          <w:u w:val="single"/>
        </w:rPr>
        <w:t xml:space="preserve">  </w:t>
      </w:r>
      <w:r>
        <w:rPr>
          <w:rFonts w:ascii="Times New Roman" w:hAnsi="Times New Roman" w:eastAsia="仿宋_GB2312"/>
          <w:sz w:val="28"/>
        </w:rPr>
        <w:t>月</w:t>
      </w:r>
      <w:r>
        <w:rPr>
          <w:rFonts w:ascii="Times New Roman" w:hAnsi="Times New Roman" w:eastAsia="仿宋_GB2312"/>
          <w:sz w:val="28"/>
          <w:u w:val="single"/>
        </w:rPr>
        <w:t xml:space="preserve">  </w:t>
      </w:r>
      <w:r>
        <w:rPr>
          <w:rFonts w:ascii="Times New Roman" w:hAnsi="Times New Roman" w:eastAsia="仿宋_GB2312"/>
          <w:sz w:val="28"/>
        </w:rPr>
        <w:t>日    地点：</w:t>
      </w:r>
      <w:r>
        <w:rPr>
          <w:rFonts w:ascii="Times New Roman" w:hAnsi="Times New Roman" w:eastAsia="仿宋_GB2312"/>
          <w:sz w:val="28"/>
          <w:u w:val="single"/>
        </w:rPr>
        <w:t xml:space="preserve">                       </w:t>
      </w:r>
    </w:p>
    <w:p w14:paraId="00B7B942">
      <w:pPr>
        <w:spacing w:line="360" w:lineRule="auto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树龄：</w:t>
      </w:r>
      <w:r>
        <w:rPr>
          <w:rFonts w:ascii="Times New Roman" w:hAnsi="Times New Roman" w:eastAsia="仿宋_GB2312"/>
          <w:sz w:val="28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28"/>
          <w:u w:val="single"/>
        </w:rPr>
        <w:t xml:space="preserve"> </w:t>
      </w:r>
      <w:r>
        <w:rPr>
          <w:rFonts w:ascii="Times New Roman" w:hAnsi="Times New Roman" w:eastAsia="仿宋_GB2312"/>
          <w:sz w:val="28"/>
          <w:u w:val="single"/>
        </w:rPr>
        <w:t xml:space="preserve"> </w:t>
      </w:r>
      <w:r>
        <w:rPr>
          <w:rFonts w:hint="eastAsia" w:ascii="Times New Roman" w:hAnsi="Times New Roman" w:eastAsia="仿宋_GB2312"/>
          <w:sz w:val="28"/>
        </w:rPr>
        <w:t>年</w:t>
      </w:r>
      <w:r>
        <w:rPr>
          <w:rFonts w:ascii="Times New Roman" w:hAnsi="Times New Roman" w:eastAsia="仿宋_GB2312"/>
          <w:sz w:val="28"/>
        </w:rPr>
        <w:t xml:space="preserve">  </w:t>
      </w:r>
      <w:r>
        <w:rPr>
          <w:rFonts w:hint="eastAsia" w:ascii="Times New Roman" w:hAnsi="Times New Roman" w:eastAsia="仿宋_GB2312"/>
          <w:sz w:val="28"/>
        </w:rPr>
        <w:t xml:space="preserve">            </w:t>
      </w:r>
      <w:r>
        <w:rPr>
          <w:rFonts w:ascii="Times New Roman" w:hAnsi="Times New Roman" w:eastAsia="仿宋_GB2312"/>
          <w:sz w:val="28"/>
        </w:rPr>
        <w:t>面积：</w:t>
      </w:r>
      <w:r>
        <w:rPr>
          <w:rFonts w:ascii="Times New Roman" w:hAnsi="Times New Roman" w:eastAsia="仿宋_GB2312"/>
          <w:sz w:val="28"/>
          <w:u w:val="single"/>
        </w:rPr>
        <w:t xml:space="preserve">    </w:t>
      </w:r>
      <w:r>
        <w:rPr>
          <w:rFonts w:hint="eastAsia" w:ascii="Times New Roman" w:hAnsi="Times New Roman" w:eastAsia="仿宋_GB2312"/>
          <w:sz w:val="28"/>
          <w:u w:val="single"/>
        </w:rPr>
        <w:t xml:space="preserve">  </w:t>
      </w:r>
      <w:r>
        <w:rPr>
          <w:rFonts w:ascii="Times New Roman" w:hAnsi="Times New Roman" w:eastAsia="仿宋_GB2312"/>
          <w:sz w:val="28"/>
          <w:u w:val="single"/>
        </w:rPr>
        <w:t xml:space="preserve"> </w:t>
      </w:r>
      <w:r>
        <w:rPr>
          <w:rFonts w:ascii="Times New Roman" w:hAnsi="Times New Roman" w:eastAsia="仿宋_GB2312"/>
          <w:sz w:val="28"/>
        </w:rPr>
        <w:t>亩</w:t>
      </w:r>
    </w:p>
    <w:p w14:paraId="54F22E9E">
      <w:pPr>
        <w:pStyle w:val="3"/>
        <w:spacing w:line="360" w:lineRule="auto"/>
        <w:ind w:left="560" w:leftChars="0" w:hanging="560" w:hangingChars="200"/>
        <w:rPr>
          <w:rFonts w:ascii="Times New Roman" w:hAnsi="Times New Roman" w:eastAsia="仿宋_GB2312"/>
          <w:sz w:val="28"/>
          <w:u w:val="single"/>
        </w:rPr>
      </w:pPr>
      <w:r>
        <w:rPr>
          <w:rFonts w:ascii="Times New Roman" w:hAnsi="Times New Roman" w:eastAsia="仿宋_GB2312"/>
          <w:sz w:val="28"/>
        </w:rPr>
        <w:t>测产人（签名）：</w:t>
      </w:r>
      <w:r>
        <w:rPr>
          <w:rFonts w:ascii="Times New Roman" w:hAnsi="Times New Roman" w:eastAsia="仿宋_GB2312"/>
          <w:sz w:val="28"/>
          <w:u w:val="single"/>
        </w:rPr>
        <w:t xml:space="preserve">                                            </w:t>
      </w:r>
    </w:p>
    <w:p w14:paraId="6B4D6B0F">
      <w:pPr>
        <w:pStyle w:val="3"/>
        <w:spacing w:line="360" w:lineRule="auto"/>
        <w:ind w:left="560" w:leftChars="0" w:hanging="560" w:hangingChars="200"/>
        <w:rPr>
          <w:rFonts w:ascii="Times New Roman" w:hAnsi="Times New Roman" w:eastAsia="仿宋_GB2312"/>
          <w:sz w:val="28"/>
        </w:rPr>
      </w:pPr>
      <w:r>
        <w:rPr>
          <w:rFonts w:hint="eastAsia" w:ascii="Times New Roman" w:hAnsi="Times New Roman" w:eastAsia="仿宋_GB2312"/>
          <w:sz w:val="28"/>
          <w:u w:val="single"/>
        </w:rPr>
        <w:t xml:space="preserve">                                                            </w:t>
      </w:r>
      <w:r>
        <w:rPr>
          <w:rFonts w:ascii="Times New Roman" w:hAnsi="Times New Roman" w:eastAsia="仿宋_GB2312"/>
          <w:sz w:val="28"/>
          <w:u w:val="single"/>
        </w:rPr>
        <w:t xml:space="preserve"> </w:t>
      </w:r>
    </w:p>
    <w:tbl>
      <w:tblPr>
        <w:tblStyle w:val="4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730"/>
        <w:gridCol w:w="601"/>
        <w:gridCol w:w="700"/>
        <w:gridCol w:w="855"/>
        <w:gridCol w:w="845"/>
        <w:gridCol w:w="805"/>
        <w:gridCol w:w="795"/>
        <w:gridCol w:w="833"/>
        <w:gridCol w:w="934"/>
        <w:gridCol w:w="911"/>
      </w:tblGrid>
      <w:tr w14:paraId="3CAE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16EC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品种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F155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植株类别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2F35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株数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61A2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测产树号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0608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株产（kg）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12BB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30果果重(g)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1354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单果重（g）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B811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30果病虫果数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72ED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病果率%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1BF3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平均株产（kg）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F3EF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总产（kg）</w:t>
            </w:r>
          </w:p>
        </w:tc>
      </w:tr>
      <w:tr w14:paraId="28433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4E1E9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86C3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42C5C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1272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AC69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0E819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A874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B00E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8BFB6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D11492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D79E7B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14:paraId="092CF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55A3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118F1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D695E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33AA4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DE21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C7A0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D3D6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22786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1DC72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1A980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716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24986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FCC7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6E846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4E5B9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CD8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23B7A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AB1BE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03B45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A7672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7AED7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B90CB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CD08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023E9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57660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00FA5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A12E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21E5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6DEA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8166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4F43D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D62B4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35DED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590C5E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08976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7CEB9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D067E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14089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4AD0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A94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9DE6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292C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223E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A5B74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C1C8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B5B8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79961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3A795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B6E7C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069CA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263B6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9E695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789F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7DD04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F07B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5247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B2E8B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92690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990F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4351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C7409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D32D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D138A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181F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6220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06D55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8F12E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82E94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F045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E509F6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16427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00C74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D2FC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8C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205B0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517B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307C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D0EB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DF81D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3D357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0BB40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0D18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B755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303D3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3EBAD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8CD0E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4746B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5DB7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DB07A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5EC9C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5F093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0D8C8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E9B2F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94E9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BD09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</w:tr>
    </w:tbl>
    <w:p w14:paraId="42AA4113">
      <w:r>
        <w:rPr>
          <w:rFonts w:hint="eastAsia" w:ascii="Times New Roman" w:hAnsi="Times New Roman" w:eastAsia="黑体"/>
          <w:sz w:val="40"/>
          <w:szCs w:val="36"/>
        </w:rPr>
        <w:t xml:space="preserve">   </w:t>
      </w:r>
      <w:r>
        <w:rPr>
          <w:rFonts w:ascii="Times New Roman" w:hAnsi="Times New Roman" w:eastAsia="黑体"/>
          <w:sz w:val="40"/>
          <w:szCs w:val="36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72EDB"/>
    <w:rsid w:val="7207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2025-04-23T03:12:00Z</dcterms:created>
  <dc:creator>G</dc:creator>
  <cp:lastModifiedBy>G</cp:lastModifiedBy>
  <dcterms:modified xsi:type="dcterms:W3CDTF">2025-04-23T03:12:24Z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C9F640D90D284B7BB394B8BD8245041F_11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