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D1695F">
      <w:pPr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 w14:paraId="6E6B28C5">
      <w:pPr>
        <w:jc w:val="center"/>
        <w:rPr>
          <w:rFonts w:hint="default" w:ascii="Times New Roman" w:hAnsi="Times New Roman" w:eastAsia="华文中宋" w:cs="Times New Roman"/>
          <w:b/>
          <w:sz w:val="36"/>
          <w:szCs w:val="32"/>
        </w:rPr>
      </w:pPr>
    </w:p>
    <w:p w14:paraId="47687557">
      <w:pPr>
        <w:jc w:val="center"/>
        <w:rPr>
          <w:rFonts w:hint="eastAsia" w:ascii="Times New Roman" w:hAnsi="Times New Roman" w:eastAsia="华文中宋" w:cs="Times New Roman"/>
          <w:b/>
          <w:bCs w:val="0"/>
          <w:sz w:val="36"/>
          <w:szCs w:val="32"/>
          <w:lang w:eastAsia="zh-CN"/>
        </w:rPr>
      </w:pPr>
      <w:r>
        <w:rPr>
          <w:rFonts w:hint="default" w:ascii="Times New Roman" w:hAnsi="Times New Roman" w:eastAsia="华文中宋" w:cs="Times New Roman"/>
          <w:b/>
          <w:bCs w:val="0"/>
          <w:sz w:val="36"/>
          <w:szCs w:val="32"/>
          <w:lang w:eastAsia="zh-CN"/>
        </w:rPr>
        <w:t>202</w:t>
      </w:r>
      <w:r>
        <w:rPr>
          <w:rFonts w:hint="eastAsia" w:ascii="Times New Roman" w:hAnsi="Times New Roman" w:eastAsia="华文中宋" w:cs="Times New Roman"/>
          <w:b/>
          <w:bCs w:val="0"/>
          <w:sz w:val="36"/>
          <w:szCs w:val="32"/>
          <w:lang w:val="en-US" w:eastAsia="zh-CN"/>
        </w:rPr>
        <w:t>5</w:t>
      </w:r>
      <w:r>
        <w:rPr>
          <w:rFonts w:hint="default" w:ascii="Times New Roman" w:hAnsi="Times New Roman" w:eastAsia="华文中宋" w:cs="Times New Roman"/>
          <w:b/>
          <w:bCs w:val="0"/>
          <w:sz w:val="36"/>
          <w:szCs w:val="32"/>
        </w:rPr>
        <w:t>年全国优质荔枝擂台赛</w:t>
      </w:r>
      <w:r>
        <w:rPr>
          <w:rFonts w:hint="eastAsia" w:ascii="Times New Roman" w:hAnsi="Times New Roman" w:eastAsia="华文中宋" w:cs="Times New Roman"/>
          <w:b/>
          <w:bCs w:val="0"/>
          <w:sz w:val="36"/>
          <w:szCs w:val="32"/>
          <w:lang w:val="en-US" w:eastAsia="zh-CN"/>
        </w:rPr>
        <w:t>活动方案</w:t>
      </w:r>
    </w:p>
    <w:p w14:paraId="714E33DD">
      <w:pPr>
        <w:rPr>
          <w:rFonts w:hint="default" w:ascii="Times New Roman" w:hAnsi="Times New Roman" w:eastAsia="仿宋" w:cs="Times New Roman"/>
          <w:sz w:val="32"/>
          <w:szCs w:val="32"/>
        </w:rPr>
      </w:pPr>
    </w:p>
    <w:p w14:paraId="057BF5EB"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为保证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年全国优质荔枝擂台赛的科学性、公平性和公正性，制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</w:rPr>
        <w:t>定本办法。</w:t>
      </w:r>
    </w:p>
    <w:p w14:paraId="6D8E2A09">
      <w:pPr>
        <w:ind w:firstLine="640" w:firstLineChars="20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一、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活动</w:t>
      </w:r>
      <w:r>
        <w:rPr>
          <w:rFonts w:hint="default" w:ascii="Times New Roman" w:hAnsi="Times New Roman" w:eastAsia="黑体" w:cs="Times New Roman"/>
          <w:sz w:val="32"/>
          <w:szCs w:val="32"/>
        </w:rPr>
        <w:t>主体</w:t>
      </w:r>
    </w:p>
    <w:p w14:paraId="41359266"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中国荔枝产业联盟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成员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单位、国家荔枝龙眼产业技术体系荔枝试验示范基地、各省荔枝标准化生产示范园（包括种植企事业单位、农民专业合作社、家庭农场、种植大户等）。</w:t>
      </w:r>
    </w:p>
    <w:p w14:paraId="7836A2EF">
      <w:pPr>
        <w:ind w:firstLine="640" w:firstLineChars="20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二、参</w:t>
      </w: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赛</w:t>
      </w:r>
      <w:r>
        <w:rPr>
          <w:rFonts w:hint="default" w:ascii="Times New Roman" w:hAnsi="Times New Roman" w:eastAsia="黑体" w:cs="Times New Roman"/>
          <w:sz w:val="32"/>
          <w:szCs w:val="32"/>
        </w:rPr>
        <w:t>品种和奖项分类</w:t>
      </w:r>
    </w:p>
    <w:p w14:paraId="647B6AA4">
      <w:pPr>
        <w:ind w:firstLine="643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</w:rPr>
        <w:t>（一）单一品种类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：桂味类（桂味、带绿）、糯米糍类（糯米糍、仙进奉、井岗红糯、岭丰糯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）；</w:t>
      </w:r>
    </w:p>
    <w:p w14:paraId="42ACCFEC">
      <w:pPr>
        <w:ind w:firstLine="643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b/>
          <w:sz w:val="32"/>
          <w:szCs w:val="32"/>
          <w:lang w:val="en-US" w:eastAsia="zh-CN"/>
        </w:rPr>
        <w:t>（二）</w:t>
      </w:r>
      <w:r>
        <w:rPr>
          <w:rFonts w:hint="default" w:ascii="Times New Roman" w:hAnsi="Times New Roman" w:eastAsia="仿宋_GB2312" w:cs="Times New Roman"/>
          <w:b/>
          <w:sz w:val="32"/>
          <w:szCs w:val="32"/>
        </w:rPr>
        <w:t>早熟优质品种类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：白糖罂、妃子笑；</w:t>
      </w:r>
    </w:p>
    <w:p w14:paraId="122F6268">
      <w:pPr>
        <w:ind w:firstLine="643" w:firstLineChars="200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（三）</w:t>
      </w:r>
      <w:r>
        <w:rPr>
          <w:rFonts w:hint="default" w:ascii="Times New Roman" w:hAnsi="Times New Roman" w:eastAsia="仿宋_GB2312" w:cs="Times New Roman"/>
          <w:b/>
          <w:sz w:val="32"/>
          <w:szCs w:val="32"/>
        </w:rPr>
        <w:t>地方特色品种类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：视各样品送样数量进行分类，主要包括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观音绿、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御金球、唐夏红、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冰荔、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无核荔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、凤山红灯笼、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挂绿、北园绿、新兴香荔、灵山香荔、桂早荔、鸡嘴荔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翡脆、水晶球、甜岩、丁香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等。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br w:type="textWrapping"/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 xml:space="preserve">    送样应为已经通过品种审定或登记的，不接收自已命名的荔枝样品。</w:t>
      </w:r>
    </w:p>
    <w:p w14:paraId="1AAC9FAB"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每类奖项设金（占5%）、银（占10%）和铜奖（占15%），由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中国荔枝产业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联盟颁布并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发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获奖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书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 w14:paraId="45C09C46">
      <w:pPr>
        <w:ind w:firstLine="640" w:firstLineChars="200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三、参</w:t>
      </w: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赛</w:t>
      </w:r>
      <w:r>
        <w:rPr>
          <w:rFonts w:hint="default" w:ascii="Times New Roman" w:hAnsi="Times New Roman" w:eastAsia="黑体" w:cs="Times New Roman"/>
          <w:sz w:val="32"/>
          <w:szCs w:val="32"/>
        </w:rPr>
        <w:t xml:space="preserve">样品寄送要求 </w:t>
      </w:r>
      <w:r>
        <w:rPr>
          <w:rFonts w:hint="default" w:ascii="Times New Roman" w:hAnsi="Times New Roman" w:eastAsia="仿宋" w:cs="Times New Roman"/>
          <w:sz w:val="32"/>
          <w:szCs w:val="32"/>
        </w:rPr>
        <w:t xml:space="preserve">            </w:t>
      </w:r>
    </w:p>
    <w:p w14:paraId="3C48E0C8">
      <w:pPr>
        <w:ind w:firstLine="643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</w:rPr>
        <w:t>采样要求：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荔枝样品以清晨采摘为宜，请勿在中午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下午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或雨天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采摘，采摘时需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整个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果穗采收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软枝连接到第一个果枝为一个果穗，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剔除烂果、病虫果，使用保鲜盒（或泡沫箱）包装，样品量5kg以上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内附冰袋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果:冰重量比约3:1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，果与冰袋之间用泡沫棉或气泡纸等隔开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送样时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需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同时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附上参赛承诺书（附件2，签名或盖公章）及样品信息表（附件3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要有联系人电话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样品信息表要写清楚送样单位名称或个人果园名称，若获奖，该名称将作为奖励证书中获奖人名称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，字迹要清晰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否则不予参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赛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 w14:paraId="50C1DE70">
      <w:pPr>
        <w:ind w:firstLine="643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</w:rPr>
        <w:t>邮寄地址：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请参赛者用顺丰快递寄至广东省广州市天河区五山路483号华南农业大学园艺学院（联系人：罗焘，13808893642）。快递费用自理。</w:t>
      </w:r>
    </w:p>
    <w:p w14:paraId="6F18CBF6">
      <w:pPr>
        <w:adjustRightInd w:val="0"/>
        <w:snapToGrid w:val="0"/>
        <w:spacing w:line="600" w:lineRule="exact"/>
        <w:ind w:firstLine="640" w:firstLineChars="200"/>
        <w:rPr>
          <w:rFonts w:hint="eastAsia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四、</w:t>
      </w: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竞赛方法</w:t>
      </w:r>
    </w:p>
    <w:p w14:paraId="6E92C48B">
      <w:pPr>
        <w:adjustRightInd w:val="0"/>
        <w:snapToGrid w:val="0"/>
        <w:spacing w:line="600" w:lineRule="exact"/>
        <w:ind w:firstLine="643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sz w:val="32"/>
          <w:szCs w:val="32"/>
        </w:rPr>
        <w:t>（一）</w:t>
      </w:r>
      <w:r>
        <w:rPr>
          <w:rFonts w:hint="eastAsia" w:ascii="Times New Roman" w:hAnsi="Times New Roman" w:eastAsia="楷体_GB2312" w:cs="Times New Roman"/>
          <w:b/>
          <w:sz w:val="32"/>
          <w:szCs w:val="32"/>
          <w:lang w:eastAsia="zh-CN"/>
        </w:rPr>
        <w:t>成立</w:t>
      </w:r>
      <w:r>
        <w:rPr>
          <w:rFonts w:hint="default" w:ascii="Times New Roman" w:hAnsi="Times New Roman" w:eastAsia="楷体_GB2312" w:cs="Times New Roman"/>
          <w:b/>
          <w:sz w:val="32"/>
          <w:szCs w:val="32"/>
        </w:rPr>
        <w:t>专家组。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组长为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胡桂兵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，成员主要由在穗的产业技术体系岗位专家组成，包括李建国、姚丽贤、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李君、姚琼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王思威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、李敦松、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王惠聪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申济源、齐文娥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和吴振先等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专家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 w14:paraId="7E4CADF4">
      <w:pPr>
        <w:adjustRightInd w:val="0"/>
        <w:snapToGrid w:val="0"/>
        <w:spacing w:line="600" w:lineRule="exact"/>
        <w:ind w:firstLine="643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sz w:val="32"/>
          <w:szCs w:val="32"/>
        </w:rPr>
        <w:t>（二）</w:t>
      </w:r>
      <w:r>
        <w:rPr>
          <w:rFonts w:hint="eastAsia" w:ascii="Times New Roman" w:hAnsi="Times New Roman" w:eastAsia="楷体_GB2312" w:cs="Times New Roman"/>
          <w:b/>
          <w:sz w:val="32"/>
          <w:szCs w:val="32"/>
          <w:lang w:eastAsia="zh-CN"/>
        </w:rPr>
        <w:t>制定</w:t>
      </w:r>
      <w:r>
        <w:rPr>
          <w:rFonts w:hint="default" w:ascii="Times New Roman" w:hAnsi="Times New Roman" w:eastAsia="楷体_GB2312" w:cs="Times New Roman"/>
          <w:b/>
          <w:sz w:val="32"/>
          <w:szCs w:val="32"/>
        </w:rPr>
        <w:t>标准。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评价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指标和分值经体系研发中心组织专家修改，并审议通过（表１）。</w:t>
      </w:r>
    </w:p>
    <w:p w14:paraId="2711E809">
      <w:pPr>
        <w:jc w:val="left"/>
        <w:rPr>
          <w:rFonts w:hint="default" w:ascii="Times New Roman" w:hAnsi="Times New Roman" w:eastAsia="宋体" w:cs="Times New Roman"/>
          <w:b/>
          <w:sz w:val="28"/>
          <w:szCs w:val="32"/>
        </w:rPr>
      </w:pPr>
      <w:r>
        <w:rPr>
          <w:rFonts w:hint="default" w:ascii="Times New Roman" w:hAnsi="Times New Roman" w:eastAsia="宋体" w:cs="Times New Roman"/>
          <w:b/>
          <w:sz w:val="28"/>
          <w:szCs w:val="32"/>
        </w:rPr>
        <w:br w:type="page"/>
      </w:r>
    </w:p>
    <w:p w14:paraId="3B33F43F">
      <w:pPr>
        <w:jc w:val="center"/>
        <w:rPr>
          <w:rFonts w:hint="default" w:ascii="Times New Roman" w:hAnsi="Times New Roman" w:eastAsia="宋体" w:cs="Times New Roman"/>
          <w:b/>
          <w:sz w:val="28"/>
          <w:szCs w:val="32"/>
        </w:rPr>
      </w:pPr>
      <w:r>
        <w:rPr>
          <w:rFonts w:hint="default" w:ascii="Times New Roman" w:hAnsi="Times New Roman" w:eastAsia="宋体" w:cs="Times New Roman"/>
          <w:b/>
          <w:sz w:val="28"/>
          <w:szCs w:val="32"/>
        </w:rPr>
        <w:t>表1 综合</w:t>
      </w:r>
      <w:r>
        <w:rPr>
          <w:rFonts w:hint="eastAsia" w:ascii="Times New Roman" w:hAnsi="Times New Roman" w:eastAsia="宋体" w:cs="Times New Roman"/>
          <w:b/>
          <w:sz w:val="28"/>
          <w:szCs w:val="32"/>
          <w:lang w:eastAsia="zh-CN"/>
        </w:rPr>
        <w:t>评价</w:t>
      </w:r>
      <w:r>
        <w:rPr>
          <w:rFonts w:hint="default" w:ascii="Times New Roman" w:hAnsi="Times New Roman" w:eastAsia="宋体" w:cs="Times New Roman"/>
          <w:b/>
          <w:sz w:val="28"/>
          <w:szCs w:val="32"/>
        </w:rPr>
        <w:t>指标和分值</w:t>
      </w:r>
    </w:p>
    <w:tbl>
      <w:tblPr>
        <w:tblStyle w:val="4"/>
        <w:tblW w:w="80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1843"/>
        <w:gridCol w:w="1984"/>
        <w:gridCol w:w="2268"/>
      </w:tblGrid>
      <w:tr w14:paraId="485498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980" w:type="dxa"/>
            <w:vAlign w:val="center"/>
          </w:tcPr>
          <w:p w14:paraId="0B2F421B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指标</w:t>
            </w:r>
          </w:p>
        </w:tc>
        <w:tc>
          <w:tcPr>
            <w:tcW w:w="1843" w:type="dxa"/>
            <w:vAlign w:val="center"/>
          </w:tcPr>
          <w:p w14:paraId="2D6C0AC9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分数</w:t>
            </w:r>
          </w:p>
        </w:tc>
        <w:tc>
          <w:tcPr>
            <w:tcW w:w="1984" w:type="dxa"/>
            <w:vAlign w:val="center"/>
          </w:tcPr>
          <w:p w14:paraId="4FF93ECF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分级</w:t>
            </w:r>
          </w:p>
        </w:tc>
        <w:tc>
          <w:tcPr>
            <w:tcW w:w="2268" w:type="dxa"/>
            <w:vAlign w:val="center"/>
          </w:tcPr>
          <w:p w14:paraId="52395A49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b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分数</w:t>
            </w:r>
          </w:p>
        </w:tc>
      </w:tr>
      <w:tr w14:paraId="45C912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1980" w:type="dxa"/>
            <w:vMerge w:val="restart"/>
            <w:vAlign w:val="center"/>
          </w:tcPr>
          <w:p w14:paraId="11A027E2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平均单穗重</w:t>
            </w:r>
          </w:p>
          <w:p w14:paraId="632E2E74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（kg）</w:t>
            </w:r>
          </w:p>
        </w:tc>
        <w:tc>
          <w:tcPr>
            <w:tcW w:w="1843" w:type="dxa"/>
            <w:vMerge w:val="restart"/>
            <w:vAlign w:val="center"/>
          </w:tcPr>
          <w:p w14:paraId="1BE7B9A1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10</w:t>
            </w:r>
          </w:p>
        </w:tc>
        <w:tc>
          <w:tcPr>
            <w:tcW w:w="1984" w:type="dxa"/>
            <w:vAlign w:val="center"/>
          </w:tcPr>
          <w:p w14:paraId="2328A1E7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一级</w:t>
            </w:r>
          </w:p>
        </w:tc>
        <w:tc>
          <w:tcPr>
            <w:tcW w:w="2268" w:type="dxa"/>
            <w:vAlign w:val="center"/>
          </w:tcPr>
          <w:p w14:paraId="5B3AB837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10</w:t>
            </w:r>
          </w:p>
        </w:tc>
      </w:tr>
      <w:tr w14:paraId="5C721E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980" w:type="dxa"/>
            <w:vMerge w:val="continue"/>
            <w:vAlign w:val="center"/>
          </w:tcPr>
          <w:p w14:paraId="56EC7FB7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43" w:type="dxa"/>
            <w:vMerge w:val="continue"/>
            <w:vAlign w:val="center"/>
          </w:tcPr>
          <w:p w14:paraId="55ED14F5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2C93D27C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二级</w:t>
            </w:r>
          </w:p>
        </w:tc>
        <w:tc>
          <w:tcPr>
            <w:tcW w:w="2268" w:type="dxa"/>
            <w:vAlign w:val="center"/>
          </w:tcPr>
          <w:p w14:paraId="52BDF7AE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9</w:t>
            </w:r>
          </w:p>
        </w:tc>
      </w:tr>
      <w:tr w14:paraId="638ADE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980" w:type="dxa"/>
            <w:vMerge w:val="continue"/>
            <w:vAlign w:val="center"/>
          </w:tcPr>
          <w:p w14:paraId="1C8997EA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43" w:type="dxa"/>
            <w:vMerge w:val="continue"/>
            <w:vAlign w:val="center"/>
          </w:tcPr>
          <w:p w14:paraId="2CE6E058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5B57B8C7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三级</w:t>
            </w:r>
          </w:p>
        </w:tc>
        <w:tc>
          <w:tcPr>
            <w:tcW w:w="2268" w:type="dxa"/>
            <w:vAlign w:val="center"/>
          </w:tcPr>
          <w:p w14:paraId="73654FA1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8</w:t>
            </w:r>
          </w:p>
        </w:tc>
      </w:tr>
      <w:tr w14:paraId="5C4BB2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980" w:type="dxa"/>
            <w:vMerge w:val="restart"/>
            <w:vAlign w:val="center"/>
          </w:tcPr>
          <w:p w14:paraId="4913DE7F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平均单果重（g）</w:t>
            </w:r>
          </w:p>
        </w:tc>
        <w:tc>
          <w:tcPr>
            <w:tcW w:w="1843" w:type="dxa"/>
            <w:vMerge w:val="restart"/>
            <w:vAlign w:val="center"/>
          </w:tcPr>
          <w:p w14:paraId="5E11CFEC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15</w:t>
            </w:r>
          </w:p>
        </w:tc>
        <w:tc>
          <w:tcPr>
            <w:tcW w:w="1984" w:type="dxa"/>
            <w:vAlign w:val="center"/>
          </w:tcPr>
          <w:p w14:paraId="31482563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一级</w:t>
            </w:r>
          </w:p>
        </w:tc>
        <w:tc>
          <w:tcPr>
            <w:tcW w:w="2268" w:type="dxa"/>
            <w:vAlign w:val="center"/>
          </w:tcPr>
          <w:p w14:paraId="416818A4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15</w:t>
            </w:r>
          </w:p>
        </w:tc>
      </w:tr>
      <w:tr w14:paraId="1BA2C3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1980" w:type="dxa"/>
            <w:vMerge w:val="continue"/>
            <w:vAlign w:val="center"/>
          </w:tcPr>
          <w:p w14:paraId="5E22601A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43" w:type="dxa"/>
            <w:vMerge w:val="continue"/>
            <w:vAlign w:val="center"/>
          </w:tcPr>
          <w:p w14:paraId="3DE2D4EF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52E4F832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二级</w:t>
            </w:r>
          </w:p>
        </w:tc>
        <w:tc>
          <w:tcPr>
            <w:tcW w:w="2268" w:type="dxa"/>
            <w:vAlign w:val="center"/>
          </w:tcPr>
          <w:p w14:paraId="7B1C1703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12</w:t>
            </w:r>
          </w:p>
        </w:tc>
      </w:tr>
      <w:tr w14:paraId="3F94B0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980" w:type="dxa"/>
            <w:vMerge w:val="continue"/>
            <w:vAlign w:val="center"/>
          </w:tcPr>
          <w:p w14:paraId="13413923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43" w:type="dxa"/>
            <w:vMerge w:val="continue"/>
            <w:vAlign w:val="center"/>
          </w:tcPr>
          <w:p w14:paraId="60A62538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5E840962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三级</w:t>
            </w:r>
          </w:p>
        </w:tc>
        <w:tc>
          <w:tcPr>
            <w:tcW w:w="2268" w:type="dxa"/>
            <w:vAlign w:val="center"/>
          </w:tcPr>
          <w:p w14:paraId="3B9779D8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9</w:t>
            </w:r>
          </w:p>
        </w:tc>
      </w:tr>
      <w:tr w14:paraId="0A0539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980" w:type="dxa"/>
            <w:vMerge w:val="restart"/>
            <w:vAlign w:val="center"/>
          </w:tcPr>
          <w:p w14:paraId="6C41B88E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果实单果重变异系数</w:t>
            </w:r>
          </w:p>
        </w:tc>
        <w:tc>
          <w:tcPr>
            <w:tcW w:w="1843" w:type="dxa"/>
            <w:vMerge w:val="restart"/>
            <w:vAlign w:val="center"/>
          </w:tcPr>
          <w:p w14:paraId="00E97E88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12</w:t>
            </w:r>
          </w:p>
        </w:tc>
        <w:tc>
          <w:tcPr>
            <w:tcW w:w="1984" w:type="dxa"/>
            <w:vAlign w:val="center"/>
          </w:tcPr>
          <w:p w14:paraId="00351F36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一级</w:t>
            </w:r>
          </w:p>
        </w:tc>
        <w:tc>
          <w:tcPr>
            <w:tcW w:w="2268" w:type="dxa"/>
            <w:vAlign w:val="center"/>
          </w:tcPr>
          <w:p w14:paraId="30157F46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12</w:t>
            </w:r>
          </w:p>
        </w:tc>
      </w:tr>
      <w:tr w14:paraId="0755CB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980" w:type="dxa"/>
            <w:vMerge w:val="continue"/>
            <w:vAlign w:val="center"/>
          </w:tcPr>
          <w:p w14:paraId="3B012F9E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43" w:type="dxa"/>
            <w:vMerge w:val="continue"/>
            <w:vAlign w:val="center"/>
          </w:tcPr>
          <w:p w14:paraId="0612ED39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7CA87EA0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二级</w:t>
            </w:r>
          </w:p>
        </w:tc>
        <w:tc>
          <w:tcPr>
            <w:tcW w:w="2268" w:type="dxa"/>
            <w:vAlign w:val="center"/>
          </w:tcPr>
          <w:p w14:paraId="70D7AD82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10</w:t>
            </w:r>
          </w:p>
        </w:tc>
      </w:tr>
      <w:tr w14:paraId="1CB94D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1980" w:type="dxa"/>
            <w:vMerge w:val="continue"/>
            <w:vAlign w:val="center"/>
          </w:tcPr>
          <w:p w14:paraId="210A8551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43" w:type="dxa"/>
            <w:vMerge w:val="continue"/>
            <w:vAlign w:val="center"/>
          </w:tcPr>
          <w:p w14:paraId="4719E8BE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6A4C7502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三级</w:t>
            </w:r>
          </w:p>
        </w:tc>
        <w:tc>
          <w:tcPr>
            <w:tcW w:w="2268" w:type="dxa"/>
            <w:vAlign w:val="center"/>
          </w:tcPr>
          <w:p w14:paraId="3129956D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8</w:t>
            </w:r>
          </w:p>
        </w:tc>
      </w:tr>
      <w:tr w14:paraId="6E49B7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1980" w:type="dxa"/>
            <w:vMerge w:val="restart"/>
            <w:vAlign w:val="center"/>
          </w:tcPr>
          <w:p w14:paraId="5DCACFC7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焦核率（%）</w:t>
            </w:r>
          </w:p>
        </w:tc>
        <w:tc>
          <w:tcPr>
            <w:tcW w:w="1843" w:type="dxa"/>
            <w:vMerge w:val="restart"/>
            <w:vAlign w:val="center"/>
          </w:tcPr>
          <w:p w14:paraId="2EEF687B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12</w:t>
            </w:r>
          </w:p>
        </w:tc>
        <w:tc>
          <w:tcPr>
            <w:tcW w:w="1984" w:type="dxa"/>
            <w:vAlign w:val="center"/>
          </w:tcPr>
          <w:p w14:paraId="7C7E11B2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一级</w:t>
            </w:r>
          </w:p>
        </w:tc>
        <w:tc>
          <w:tcPr>
            <w:tcW w:w="2268" w:type="dxa"/>
            <w:vAlign w:val="center"/>
          </w:tcPr>
          <w:p w14:paraId="3A99E0D4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12</w:t>
            </w:r>
          </w:p>
        </w:tc>
      </w:tr>
      <w:tr w14:paraId="383EF4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1980" w:type="dxa"/>
            <w:vMerge w:val="continue"/>
            <w:vAlign w:val="center"/>
          </w:tcPr>
          <w:p w14:paraId="38F06259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43" w:type="dxa"/>
            <w:vMerge w:val="continue"/>
            <w:vAlign w:val="center"/>
          </w:tcPr>
          <w:p w14:paraId="1436C7BA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781B3266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二级</w:t>
            </w:r>
          </w:p>
        </w:tc>
        <w:tc>
          <w:tcPr>
            <w:tcW w:w="2268" w:type="dxa"/>
            <w:vAlign w:val="center"/>
          </w:tcPr>
          <w:p w14:paraId="1F7519E4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10</w:t>
            </w:r>
          </w:p>
        </w:tc>
      </w:tr>
      <w:tr w14:paraId="47D73D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980" w:type="dxa"/>
            <w:vMerge w:val="continue"/>
            <w:vAlign w:val="center"/>
          </w:tcPr>
          <w:p w14:paraId="1A5FBC7F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43" w:type="dxa"/>
            <w:vMerge w:val="continue"/>
            <w:vAlign w:val="center"/>
          </w:tcPr>
          <w:p w14:paraId="177C1903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4BB74DC8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三级</w:t>
            </w:r>
          </w:p>
        </w:tc>
        <w:tc>
          <w:tcPr>
            <w:tcW w:w="2268" w:type="dxa"/>
            <w:vAlign w:val="center"/>
          </w:tcPr>
          <w:p w14:paraId="20645A49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8</w:t>
            </w:r>
          </w:p>
        </w:tc>
      </w:tr>
      <w:tr w14:paraId="51B7A6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980" w:type="dxa"/>
            <w:vMerge w:val="restart"/>
            <w:vAlign w:val="center"/>
          </w:tcPr>
          <w:p w14:paraId="560AA10B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可食率（%）</w:t>
            </w:r>
          </w:p>
        </w:tc>
        <w:tc>
          <w:tcPr>
            <w:tcW w:w="1843" w:type="dxa"/>
            <w:vMerge w:val="restart"/>
            <w:vAlign w:val="center"/>
          </w:tcPr>
          <w:p w14:paraId="3D18A8DA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12</w:t>
            </w:r>
          </w:p>
        </w:tc>
        <w:tc>
          <w:tcPr>
            <w:tcW w:w="1984" w:type="dxa"/>
            <w:vAlign w:val="center"/>
          </w:tcPr>
          <w:p w14:paraId="4A3A34AC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一级</w:t>
            </w:r>
          </w:p>
        </w:tc>
        <w:tc>
          <w:tcPr>
            <w:tcW w:w="2268" w:type="dxa"/>
            <w:vAlign w:val="center"/>
          </w:tcPr>
          <w:p w14:paraId="3EA36DEA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12</w:t>
            </w:r>
          </w:p>
        </w:tc>
      </w:tr>
      <w:tr w14:paraId="4040A6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980" w:type="dxa"/>
            <w:vMerge w:val="continue"/>
            <w:vAlign w:val="center"/>
          </w:tcPr>
          <w:p w14:paraId="5160401A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43" w:type="dxa"/>
            <w:vMerge w:val="continue"/>
            <w:vAlign w:val="center"/>
          </w:tcPr>
          <w:p w14:paraId="03E34520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4C8B37FD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二级</w:t>
            </w:r>
          </w:p>
        </w:tc>
        <w:tc>
          <w:tcPr>
            <w:tcW w:w="2268" w:type="dxa"/>
            <w:vAlign w:val="center"/>
          </w:tcPr>
          <w:p w14:paraId="057C44BF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10</w:t>
            </w:r>
          </w:p>
        </w:tc>
      </w:tr>
      <w:tr w14:paraId="0B1171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1980" w:type="dxa"/>
            <w:vMerge w:val="continue"/>
            <w:vAlign w:val="center"/>
          </w:tcPr>
          <w:p w14:paraId="418D06EF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43" w:type="dxa"/>
            <w:vMerge w:val="continue"/>
            <w:vAlign w:val="center"/>
          </w:tcPr>
          <w:p w14:paraId="06219862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484AA004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三级</w:t>
            </w:r>
          </w:p>
        </w:tc>
        <w:tc>
          <w:tcPr>
            <w:tcW w:w="2268" w:type="dxa"/>
            <w:vAlign w:val="center"/>
          </w:tcPr>
          <w:p w14:paraId="4F3DC752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8</w:t>
            </w:r>
          </w:p>
        </w:tc>
      </w:tr>
      <w:tr w14:paraId="3D9C8D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1980" w:type="dxa"/>
            <w:vMerge w:val="restart"/>
            <w:vAlign w:val="center"/>
          </w:tcPr>
          <w:p w14:paraId="0C300666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可溶性固形物含量（%）</w:t>
            </w:r>
          </w:p>
        </w:tc>
        <w:tc>
          <w:tcPr>
            <w:tcW w:w="1843" w:type="dxa"/>
            <w:vMerge w:val="restart"/>
            <w:vAlign w:val="center"/>
          </w:tcPr>
          <w:p w14:paraId="069FB4EB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15</w:t>
            </w:r>
          </w:p>
        </w:tc>
        <w:tc>
          <w:tcPr>
            <w:tcW w:w="1984" w:type="dxa"/>
            <w:vAlign w:val="center"/>
          </w:tcPr>
          <w:p w14:paraId="45A98FA3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一级</w:t>
            </w:r>
          </w:p>
        </w:tc>
        <w:tc>
          <w:tcPr>
            <w:tcW w:w="2268" w:type="dxa"/>
            <w:vAlign w:val="center"/>
          </w:tcPr>
          <w:p w14:paraId="00DC51A0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15</w:t>
            </w:r>
          </w:p>
        </w:tc>
      </w:tr>
      <w:tr w14:paraId="29372E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1980" w:type="dxa"/>
            <w:vMerge w:val="continue"/>
            <w:vAlign w:val="center"/>
          </w:tcPr>
          <w:p w14:paraId="7271324B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43" w:type="dxa"/>
            <w:vMerge w:val="continue"/>
            <w:vAlign w:val="center"/>
          </w:tcPr>
          <w:p w14:paraId="029D2DC9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2AA37BAC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二级</w:t>
            </w:r>
          </w:p>
        </w:tc>
        <w:tc>
          <w:tcPr>
            <w:tcW w:w="2268" w:type="dxa"/>
            <w:vAlign w:val="center"/>
          </w:tcPr>
          <w:p w14:paraId="12C24F28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12</w:t>
            </w:r>
          </w:p>
        </w:tc>
      </w:tr>
      <w:tr w14:paraId="1647EB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980" w:type="dxa"/>
            <w:vMerge w:val="continue"/>
            <w:vAlign w:val="center"/>
          </w:tcPr>
          <w:p w14:paraId="793AEBC2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43" w:type="dxa"/>
            <w:vMerge w:val="continue"/>
            <w:vAlign w:val="center"/>
          </w:tcPr>
          <w:p w14:paraId="33841B60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69868E30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三级</w:t>
            </w:r>
          </w:p>
        </w:tc>
        <w:tc>
          <w:tcPr>
            <w:tcW w:w="2268" w:type="dxa"/>
            <w:vAlign w:val="center"/>
          </w:tcPr>
          <w:p w14:paraId="788B84B6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9</w:t>
            </w:r>
          </w:p>
        </w:tc>
      </w:tr>
      <w:tr w14:paraId="048FC4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980" w:type="dxa"/>
            <w:vMerge w:val="restart"/>
            <w:vAlign w:val="center"/>
          </w:tcPr>
          <w:p w14:paraId="3BBCB932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果皮颜色</w:t>
            </w:r>
          </w:p>
        </w:tc>
        <w:tc>
          <w:tcPr>
            <w:tcW w:w="1843" w:type="dxa"/>
            <w:vMerge w:val="restart"/>
            <w:vAlign w:val="center"/>
          </w:tcPr>
          <w:p w14:paraId="7DF37DDC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12</w:t>
            </w:r>
          </w:p>
        </w:tc>
        <w:tc>
          <w:tcPr>
            <w:tcW w:w="1984" w:type="dxa"/>
            <w:vAlign w:val="center"/>
          </w:tcPr>
          <w:p w14:paraId="05A9B215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一级</w:t>
            </w:r>
          </w:p>
        </w:tc>
        <w:tc>
          <w:tcPr>
            <w:tcW w:w="2268" w:type="dxa"/>
            <w:vAlign w:val="center"/>
          </w:tcPr>
          <w:p w14:paraId="1E06A6A8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12</w:t>
            </w:r>
          </w:p>
        </w:tc>
      </w:tr>
      <w:tr w14:paraId="282D74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1980" w:type="dxa"/>
            <w:vMerge w:val="continue"/>
            <w:vAlign w:val="center"/>
          </w:tcPr>
          <w:p w14:paraId="73ADF1C0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43" w:type="dxa"/>
            <w:vMerge w:val="continue"/>
            <w:vAlign w:val="center"/>
          </w:tcPr>
          <w:p w14:paraId="4FCC17BB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159F8387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二级</w:t>
            </w:r>
          </w:p>
        </w:tc>
        <w:tc>
          <w:tcPr>
            <w:tcW w:w="2268" w:type="dxa"/>
            <w:vAlign w:val="center"/>
          </w:tcPr>
          <w:p w14:paraId="4060C2F8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10</w:t>
            </w:r>
          </w:p>
        </w:tc>
      </w:tr>
      <w:tr w14:paraId="105217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980" w:type="dxa"/>
            <w:vMerge w:val="continue"/>
            <w:vAlign w:val="center"/>
          </w:tcPr>
          <w:p w14:paraId="08CCF259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43" w:type="dxa"/>
            <w:vMerge w:val="continue"/>
            <w:vAlign w:val="center"/>
          </w:tcPr>
          <w:p w14:paraId="51E4D463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29419C4A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三级</w:t>
            </w:r>
          </w:p>
        </w:tc>
        <w:tc>
          <w:tcPr>
            <w:tcW w:w="2268" w:type="dxa"/>
            <w:vAlign w:val="center"/>
          </w:tcPr>
          <w:p w14:paraId="57654282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8</w:t>
            </w:r>
          </w:p>
        </w:tc>
      </w:tr>
      <w:tr w14:paraId="1F9C42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980" w:type="dxa"/>
            <w:vMerge w:val="restart"/>
            <w:vAlign w:val="center"/>
          </w:tcPr>
          <w:p w14:paraId="72334287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口感风味</w:t>
            </w:r>
          </w:p>
        </w:tc>
        <w:tc>
          <w:tcPr>
            <w:tcW w:w="1843" w:type="dxa"/>
            <w:vMerge w:val="restart"/>
            <w:vAlign w:val="center"/>
          </w:tcPr>
          <w:p w14:paraId="0ED8DEFA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12</w:t>
            </w:r>
          </w:p>
        </w:tc>
        <w:tc>
          <w:tcPr>
            <w:tcW w:w="1984" w:type="dxa"/>
            <w:vAlign w:val="center"/>
          </w:tcPr>
          <w:p w14:paraId="7847338B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一级</w:t>
            </w:r>
          </w:p>
        </w:tc>
        <w:tc>
          <w:tcPr>
            <w:tcW w:w="2268" w:type="dxa"/>
            <w:vAlign w:val="center"/>
          </w:tcPr>
          <w:p w14:paraId="4FC6B63A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12</w:t>
            </w:r>
          </w:p>
        </w:tc>
      </w:tr>
      <w:tr w14:paraId="0FD5CB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980" w:type="dxa"/>
            <w:vMerge w:val="continue"/>
            <w:vAlign w:val="center"/>
          </w:tcPr>
          <w:p w14:paraId="11D97139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43" w:type="dxa"/>
            <w:vMerge w:val="continue"/>
            <w:vAlign w:val="center"/>
          </w:tcPr>
          <w:p w14:paraId="33C0DA40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15D3AAA7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二级</w:t>
            </w:r>
          </w:p>
        </w:tc>
        <w:tc>
          <w:tcPr>
            <w:tcW w:w="2268" w:type="dxa"/>
            <w:vAlign w:val="center"/>
          </w:tcPr>
          <w:p w14:paraId="500D282C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10</w:t>
            </w:r>
          </w:p>
        </w:tc>
      </w:tr>
      <w:tr w14:paraId="409CB4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980" w:type="dxa"/>
            <w:vMerge w:val="continue"/>
            <w:tcBorders>
              <w:bottom w:val="single" w:color="auto" w:sz="4" w:space="0"/>
            </w:tcBorders>
            <w:vAlign w:val="center"/>
          </w:tcPr>
          <w:p w14:paraId="15404E87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43" w:type="dxa"/>
            <w:vMerge w:val="continue"/>
            <w:tcBorders>
              <w:bottom w:val="single" w:color="auto" w:sz="4" w:space="0"/>
            </w:tcBorders>
            <w:vAlign w:val="center"/>
          </w:tcPr>
          <w:p w14:paraId="7E2FBAC8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bottom w:val="single" w:color="auto" w:sz="4" w:space="0"/>
            </w:tcBorders>
            <w:vAlign w:val="center"/>
          </w:tcPr>
          <w:p w14:paraId="7BBAF597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三级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 w14:paraId="6037EF40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8</w:t>
            </w:r>
          </w:p>
        </w:tc>
      </w:tr>
      <w:tr w14:paraId="77165D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9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9883E28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安全指标</w:t>
            </w:r>
          </w:p>
        </w:tc>
        <w:tc>
          <w:tcPr>
            <w:tcW w:w="184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30B9414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10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A69D1D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一级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5EA630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10</w:t>
            </w:r>
          </w:p>
        </w:tc>
      </w:tr>
      <w:tr w14:paraId="6C2F5D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9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0F232B8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4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3588793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E8EFE3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二级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66343A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8~9</w:t>
            </w:r>
          </w:p>
        </w:tc>
      </w:tr>
      <w:tr w14:paraId="45CD21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9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28FDD85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4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C570B25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2FDDFB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三级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7A7095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6~7</w:t>
            </w:r>
          </w:p>
        </w:tc>
      </w:tr>
      <w:tr w14:paraId="766117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9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84ACF14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4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8C284FF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5A7B8A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四级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6F42FD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0~5</w:t>
            </w:r>
          </w:p>
        </w:tc>
      </w:tr>
      <w:tr w14:paraId="3A8826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9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DB31B23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4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F6F173A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809157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五级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B1B4CA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检出禁限用农药</w:t>
            </w:r>
          </w:p>
        </w:tc>
      </w:tr>
    </w:tbl>
    <w:p w14:paraId="52EA32AF">
      <w:pPr>
        <w:spacing w:line="360" w:lineRule="auto"/>
        <w:ind w:firstLine="643" w:firstLineChars="200"/>
        <w:contextualSpacing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楷体_GB2312" w:cs="Times New Roman"/>
          <w:b/>
          <w:sz w:val="32"/>
          <w:szCs w:val="32"/>
        </w:rPr>
        <w:t>（三）检测指标。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样品于收到当日或次日进行化验分析，采集相关数据。部分定性指标（果皮颜色和口感风味），由专家组成员及时评价打分（统计时去掉1个最高分和1个最低分）。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其中，安全指标根据在荔枝上已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登记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农药残留是否超标和是否使用未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登记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农药的情况进行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打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分，若均未检出，则为10分、一级，每检出1项，扣1分，直至0分。金奖需为一级，银奖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、铜奖均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需达到二级及以上，若检出禁限用农药，则不予参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赛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。</w:t>
      </w:r>
    </w:p>
    <w:p w14:paraId="71874E4A">
      <w:pPr>
        <w:spacing w:line="360" w:lineRule="auto"/>
        <w:ind w:firstLine="643" w:firstLineChars="200"/>
        <w:contextualSpacing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sz w:val="32"/>
          <w:szCs w:val="32"/>
        </w:rPr>
        <w:t>（四）核算分数。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对参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赛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样品的成绩进行汇总、复核，确定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竞赛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等次。</w:t>
      </w:r>
    </w:p>
    <w:p w14:paraId="19DE1FB7">
      <w:pPr>
        <w:spacing w:line="360" w:lineRule="auto"/>
        <w:ind w:firstLine="643" w:firstLineChars="200"/>
        <w:contextualSpacing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sz w:val="32"/>
          <w:szCs w:val="32"/>
        </w:rPr>
        <w:t>（五）公布结果。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获奖名单将择日公布并颁发证书。中国农垦（热作）网（http://www.farmchina.org.cn/）、《中国热带农业》期刊、“荔枝龙眼产业资源平台”“中国热带农业”微信公众号将同步宣传推介。</w:t>
      </w:r>
    </w:p>
    <w:p w14:paraId="2F66FFAE">
      <w:pPr>
        <w:adjustRightInd w:val="0"/>
        <w:snapToGrid w:val="0"/>
        <w:spacing w:line="600" w:lineRule="exact"/>
        <w:ind w:firstLine="640" w:firstLineChars="20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五、其他事项</w:t>
      </w:r>
    </w:p>
    <w:p w14:paraId="593BE7F4">
      <w:pPr>
        <w:adjustRightInd w:val="0"/>
        <w:snapToGrid w:val="0"/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参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赛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主体对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竞赛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结果如有异议，请实名反映至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中国荔枝产业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联盟秘书处邮箱：rzfzch@163.com。</w:t>
      </w:r>
    </w:p>
    <w:p w14:paraId="08825E3D">
      <w:pPr>
        <w:adjustRightInd w:val="0"/>
        <w:snapToGrid w:val="0"/>
        <w:spacing w:line="600" w:lineRule="exact"/>
        <w:rPr>
          <w:rFonts w:hint="default" w:ascii="Times New Roman" w:hAnsi="Times New Roman" w:cs="Times New Roman"/>
        </w:rPr>
      </w:pPr>
    </w:p>
    <w:p w14:paraId="5F3BC7C1">
      <w:pPr>
        <w:pStyle w:val="3"/>
        <w:rPr>
          <w:rFonts w:hint="default" w:ascii="Times New Roman" w:hAnsi="Times New Roman" w:cs="Times New Roman"/>
        </w:rPr>
      </w:pPr>
    </w:p>
    <w:p w14:paraId="36A155F0">
      <w:pPr>
        <w:pStyle w:val="3"/>
        <w:rPr>
          <w:rFonts w:hint="default" w:ascii="Times New Roman" w:hAnsi="Times New Roman" w:cs="Times New Roman"/>
        </w:rPr>
      </w:pPr>
    </w:p>
    <w:p w14:paraId="01451656">
      <w:pPr>
        <w:spacing w:line="240" w:lineRule="auto"/>
        <w:jc w:val="left"/>
        <w:rPr>
          <w:rFonts w:hint="default" w:ascii="Times New Roman" w:hAnsi="Times New Roman" w:eastAsia="华文中宋" w:cs="Times New Roman"/>
          <w:b/>
          <w:sz w:val="32"/>
          <w:szCs w:val="28"/>
        </w:rPr>
      </w:pPr>
      <w:r>
        <w:rPr>
          <w:rFonts w:hint="default" w:ascii="Times New Roman" w:hAnsi="Times New Roman" w:eastAsia="华文中宋" w:cs="Times New Roman"/>
          <w:b/>
          <w:sz w:val="32"/>
          <w:szCs w:val="28"/>
        </w:rPr>
        <w:br w:type="page"/>
      </w:r>
    </w:p>
    <w:p w14:paraId="7E280B9B">
      <w:pPr>
        <w:spacing w:line="360" w:lineRule="auto"/>
        <w:jc w:val="center"/>
        <w:rPr>
          <w:rFonts w:hint="eastAsia" w:ascii="Times New Roman" w:hAnsi="Times New Roman" w:eastAsia="华文中宋" w:cs="Times New Roman"/>
          <w:b/>
          <w:bCs w:val="0"/>
          <w:sz w:val="32"/>
          <w:szCs w:val="28"/>
          <w:lang w:eastAsia="zh-CN"/>
        </w:rPr>
      </w:pPr>
      <w:r>
        <w:rPr>
          <w:rFonts w:hint="default" w:ascii="Times New Roman" w:hAnsi="Times New Roman" w:eastAsia="华文中宋" w:cs="Times New Roman"/>
          <w:b/>
          <w:bCs w:val="0"/>
          <w:sz w:val="32"/>
          <w:szCs w:val="28"/>
        </w:rPr>
        <w:t>检测农药列表</w:t>
      </w:r>
    </w:p>
    <w:p w14:paraId="5337C642">
      <w:pPr>
        <w:spacing w:line="360" w:lineRule="auto"/>
        <w:rPr>
          <w:rFonts w:hint="default" w:ascii="Times New Roman" w:hAnsi="Times New Roman" w:eastAsia="仿宋_GB2312" w:cs="Times New Roman"/>
          <w:b/>
          <w:sz w:val="28"/>
          <w:szCs w:val="24"/>
        </w:rPr>
      </w:pPr>
      <w:r>
        <w:rPr>
          <w:rFonts w:hint="default" w:ascii="Times New Roman" w:hAnsi="Times New Roman" w:eastAsia="仿宋_GB2312" w:cs="Times New Roman"/>
          <w:b/>
          <w:sz w:val="28"/>
          <w:szCs w:val="24"/>
        </w:rPr>
        <w:t>登记农药</w:t>
      </w:r>
      <w:r>
        <w:rPr>
          <w:rFonts w:hint="eastAsia" w:ascii="Times New Roman" w:hAnsi="Times New Roman" w:eastAsia="仿宋_GB2312" w:cs="Times New Roman"/>
          <w:b/>
          <w:sz w:val="28"/>
          <w:szCs w:val="24"/>
          <w:lang w:val="en-US" w:eastAsia="zh-CN"/>
        </w:rPr>
        <w:t>的最大残留</w:t>
      </w:r>
      <w:r>
        <w:rPr>
          <w:rFonts w:hint="default" w:ascii="Times New Roman" w:hAnsi="Times New Roman" w:eastAsia="仿宋_GB2312" w:cs="Times New Roman"/>
          <w:b/>
          <w:sz w:val="28"/>
          <w:szCs w:val="24"/>
        </w:rPr>
        <w:t>限量值</w:t>
      </w:r>
      <w:r>
        <w:rPr>
          <w:rFonts w:hint="eastAsia" w:ascii="Times New Roman" w:hAnsi="Times New Roman" w:eastAsia="仿宋_GB2312" w:cs="Times New Roman"/>
          <w:b/>
          <w:sz w:val="28"/>
          <w:szCs w:val="24"/>
          <w:lang w:eastAsia="zh-CN"/>
        </w:rPr>
        <w:t>（来源</w:t>
      </w:r>
      <w:r>
        <w:rPr>
          <w:rFonts w:hint="eastAsia" w:ascii="Times New Roman" w:hAnsi="Times New Roman" w:eastAsia="仿宋_GB2312" w:cs="Times New Roman"/>
          <w:b/>
          <w:sz w:val="28"/>
          <w:szCs w:val="24"/>
          <w:lang w:val="en-US" w:eastAsia="zh-CN"/>
        </w:rPr>
        <w:t>GB 2763-2021、GB2763.1-2022</w:t>
      </w:r>
      <w:r>
        <w:rPr>
          <w:rFonts w:hint="eastAsia" w:ascii="Times New Roman" w:hAnsi="Times New Roman" w:eastAsia="仿宋_GB2312" w:cs="Times New Roman"/>
          <w:b/>
          <w:sz w:val="28"/>
          <w:szCs w:val="24"/>
          <w:lang w:eastAsia="zh-CN"/>
        </w:rPr>
        <w:t>）</w:t>
      </w:r>
      <w:r>
        <w:rPr>
          <w:rFonts w:hint="default" w:ascii="Times New Roman" w:hAnsi="Times New Roman" w:eastAsia="仿宋_GB2312" w:cs="Times New Roman"/>
          <w:b/>
          <w:sz w:val="28"/>
          <w:szCs w:val="24"/>
        </w:rPr>
        <w:t>：</w:t>
      </w:r>
    </w:p>
    <w:p w14:paraId="0809E97E">
      <w:pPr>
        <w:spacing w:line="360" w:lineRule="auto"/>
        <w:rPr>
          <w:rFonts w:hint="default" w:ascii="Times New Roman" w:hAnsi="Times New Roman" w:eastAsia="仿宋_GB2312" w:cs="Times New Roman"/>
          <w:b/>
          <w:sz w:val="28"/>
          <w:szCs w:val="24"/>
        </w:rPr>
      </w:pPr>
      <w:r>
        <w:rPr>
          <w:rFonts w:hint="default" w:ascii="Times New Roman" w:hAnsi="Times New Roman" w:eastAsia="仿宋_GB2312" w:cs="Times New Roman"/>
          <w:b w:val="0"/>
          <w:bCs/>
          <w:sz w:val="28"/>
          <w:szCs w:val="24"/>
        </w:rPr>
        <w:t>阿维菌素0.2mg/kg、百菌清0.2mg/kg、苯醚甲环唑0.5mg/kg、吡唑醚菌酯0.5mg/kg、丙森锌5mg/kg、除虫脲0.5mg/kg、春雷霉素0.05mg/kg、代森联5mg/kg、代森锰锌5mg/kg、毒死蜱1mg/kg、多菌灵0.5mg/kg、多效唑0.5mg/kg、氟节胺0.5mg/kg、氟吗啉0.1mg/kg、福美双5mg/kg、甲氨基阿维菌素苯甲酸盐0.1mg/kg、甲霜灵</w:t>
      </w:r>
      <w:r>
        <w:rPr>
          <w:rFonts w:hint="eastAsia" w:ascii="Times New Roman" w:hAnsi="Times New Roman" w:eastAsia="仿宋_GB2312" w:cs="Times New Roman"/>
          <w:b w:val="0"/>
          <w:bCs/>
          <w:sz w:val="28"/>
          <w:szCs w:val="24"/>
          <w:lang w:val="en-US" w:eastAsia="zh-CN"/>
        </w:rPr>
        <w:t>/精甲霜灵</w:t>
      </w:r>
      <w:r>
        <w:rPr>
          <w:rFonts w:hint="default" w:ascii="Times New Roman" w:hAnsi="Times New Roman" w:eastAsia="仿宋_GB2312" w:cs="Times New Roman"/>
          <w:b w:val="0"/>
          <w:bCs/>
          <w:sz w:val="28"/>
          <w:szCs w:val="24"/>
        </w:rPr>
        <w:t>0.5mg/kg、甲氧虫酰肼5mg/kg、腈菌唑0.5mg/kg、喹啉铜5mg/kg、螺虫乙酯15mg/kg、氯氟氰菊酯</w:t>
      </w:r>
      <w:r>
        <w:rPr>
          <w:rFonts w:hint="eastAsia" w:ascii="Times New Roman" w:hAnsi="Times New Roman" w:eastAsia="仿宋_GB2312" w:cs="Times New Roman"/>
          <w:b w:val="0"/>
          <w:bCs/>
          <w:sz w:val="28"/>
          <w:szCs w:val="24"/>
          <w:lang w:val="en-US" w:eastAsia="zh-CN"/>
        </w:rPr>
        <w:t>/</w:t>
      </w:r>
      <w:r>
        <w:rPr>
          <w:rFonts w:hint="default" w:ascii="Times New Roman" w:hAnsi="Times New Roman" w:eastAsia="仿宋_GB2312" w:cs="Times New Roman"/>
          <w:b w:val="0"/>
          <w:bCs/>
          <w:sz w:val="28"/>
          <w:szCs w:val="24"/>
        </w:rPr>
        <w:t>高效氯氟氰菊酯0.1mg/kg、氯氰菊酯</w:t>
      </w:r>
      <w:r>
        <w:rPr>
          <w:rFonts w:hint="eastAsia" w:ascii="Times New Roman" w:hAnsi="Times New Roman" w:eastAsia="仿宋_GB2312" w:cs="Times New Roman"/>
          <w:b w:val="0"/>
          <w:bCs/>
          <w:sz w:val="28"/>
          <w:szCs w:val="24"/>
          <w:lang w:val="en-US" w:eastAsia="zh-CN"/>
        </w:rPr>
        <w:t>/</w:t>
      </w:r>
      <w:r>
        <w:rPr>
          <w:rFonts w:hint="default" w:ascii="Times New Roman" w:hAnsi="Times New Roman" w:eastAsia="仿宋_GB2312" w:cs="Times New Roman"/>
          <w:b w:val="0"/>
          <w:bCs/>
          <w:sz w:val="28"/>
          <w:szCs w:val="24"/>
        </w:rPr>
        <w:t>高效氯氰菊酯0.5mg/kg、马拉硫磷0.5mg/kg、咪鲜胺</w:t>
      </w:r>
      <w:r>
        <w:rPr>
          <w:rFonts w:hint="eastAsia" w:ascii="Times New Roman" w:hAnsi="Times New Roman" w:eastAsia="仿宋_GB2312" w:cs="Times New Roman"/>
          <w:b w:val="0"/>
          <w:bCs/>
          <w:sz w:val="28"/>
          <w:szCs w:val="24"/>
          <w:lang w:val="en-US" w:eastAsia="zh-CN"/>
        </w:rPr>
        <w:t>/</w:t>
      </w:r>
      <w:r>
        <w:rPr>
          <w:rFonts w:hint="default" w:ascii="Times New Roman" w:hAnsi="Times New Roman" w:eastAsia="仿宋_GB2312" w:cs="Times New Roman"/>
          <w:b w:val="0"/>
          <w:bCs/>
          <w:sz w:val="28"/>
          <w:szCs w:val="24"/>
        </w:rPr>
        <w:t>咪鲜胺锰盐2mg/kg、嘧菌酯0.5mg/kg、萘乙酸0.05mg/kg、萘乙酸钠0.05mg/kg、氰霜唑0.02mg/kg、三乙膦酸铝1mg/kg、三唑磷0.2mg/kg、三唑酮0.05mg/kg、双炔酰菌胺0.2mg/kg、霜脲氰0.1mg/kg、溴氰菊酯0.05mg/kg、乙烯利2mg/kg、对氯苯氧乙酸钠0.05mg/kg、氯虫苯甲酰胺1mg/kg、烯酰吗啉5mg/kg。</w:t>
      </w:r>
    </w:p>
    <w:p w14:paraId="21512BE3">
      <w:pPr>
        <w:spacing w:line="360" w:lineRule="auto"/>
        <w:rPr>
          <w:rFonts w:hint="default" w:ascii="Times New Roman" w:hAnsi="Times New Roman" w:eastAsia="仿宋_GB2312" w:cs="Times New Roman"/>
          <w:b/>
          <w:sz w:val="28"/>
          <w:szCs w:val="24"/>
        </w:rPr>
      </w:pPr>
    </w:p>
    <w:p w14:paraId="622E476D">
      <w:pPr>
        <w:spacing w:line="360" w:lineRule="auto"/>
        <w:rPr>
          <w:rFonts w:hint="default" w:ascii="Times New Roman" w:hAnsi="Times New Roman" w:eastAsia="仿宋_GB2312" w:cs="Times New Roman"/>
          <w:b/>
          <w:sz w:val="28"/>
          <w:szCs w:val="24"/>
        </w:rPr>
      </w:pPr>
      <w:r>
        <w:rPr>
          <w:rFonts w:hint="default" w:ascii="Times New Roman" w:hAnsi="Times New Roman" w:eastAsia="仿宋_GB2312" w:cs="Times New Roman"/>
          <w:b/>
          <w:sz w:val="28"/>
          <w:szCs w:val="24"/>
        </w:rPr>
        <w:t>未登记农药：</w:t>
      </w:r>
    </w:p>
    <w:p w14:paraId="059C0667">
      <w:pPr>
        <w:spacing w:line="360" w:lineRule="auto"/>
        <w:rPr>
          <w:rFonts w:hint="default" w:ascii="Times New Roman" w:hAnsi="Times New Roman" w:eastAsia="仿宋_GB2312" w:cs="Times New Roman"/>
          <w:b/>
          <w:sz w:val="28"/>
          <w:szCs w:val="24"/>
        </w:rPr>
      </w:pPr>
      <w:r>
        <w:rPr>
          <w:rFonts w:hint="default" w:ascii="Times New Roman" w:hAnsi="Times New Roman" w:eastAsia="仿宋_GB2312" w:cs="Times New Roman"/>
          <w:b/>
          <w:sz w:val="28"/>
          <w:szCs w:val="24"/>
        </w:rPr>
        <w:t>灭幼脲、哒螨灵、啶虫脒、</w:t>
      </w:r>
      <w:r>
        <w:rPr>
          <w:rFonts w:hint="eastAsia" w:ascii="Times New Roman" w:hAnsi="Times New Roman" w:eastAsia="仿宋_GB2312" w:cs="Times New Roman"/>
          <w:b w:val="0"/>
          <w:bCs/>
          <w:sz w:val="28"/>
          <w:szCs w:val="24"/>
          <w:lang w:eastAsia="zh-CN"/>
        </w:rPr>
        <w:t>呋虫胺、噻虫胺</w:t>
      </w:r>
      <w:r>
        <w:rPr>
          <w:rFonts w:hint="default" w:ascii="Times New Roman" w:hAnsi="Times New Roman" w:eastAsia="仿宋_GB2312" w:cs="Times New Roman"/>
          <w:b/>
          <w:sz w:val="28"/>
          <w:szCs w:val="24"/>
        </w:rPr>
        <w:t>等。</w:t>
      </w:r>
    </w:p>
    <w:p w14:paraId="6AA6D12A">
      <w:pPr>
        <w:spacing w:line="360" w:lineRule="auto"/>
        <w:rPr>
          <w:rFonts w:hint="default" w:ascii="Times New Roman" w:hAnsi="Times New Roman" w:eastAsia="仿宋_GB2312" w:cs="Times New Roman"/>
          <w:b/>
          <w:sz w:val="28"/>
          <w:szCs w:val="24"/>
        </w:rPr>
      </w:pPr>
    </w:p>
    <w:p w14:paraId="533C72D9">
      <w:pPr>
        <w:spacing w:line="360" w:lineRule="auto"/>
        <w:rPr>
          <w:rFonts w:hint="default" w:ascii="Times New Roman" w:hAnsi="Times New Roman" w:eastAsia="仿宋_GB2312" w:cs="Times New Roman"/>
          <w:b/>
          <w:sz w:val="28"/>
          <w:szCs w:val="24"/>
        </w:rPr>
      </w:pPr>
      <w:r>
        <w:rPr>
          <w:rFonts w:hint="default" w:ascii="Times New Roman" w:hAnsi="Times New Roman" w:eastAsia="仿宋_GB2312" w:cs="Times New Roman"/>
          <w:b/>
          <w:sz w:val="28"/>
          <w:szCs w:val="24"/>
        </w:rPr>
        <w:t>禁止使用农药：</w:t>
      </w:r>
    </w:p>
    <w:p w14:paraId="5ED3F97E">
      <w:pPr>
        <w:spacing w:line="360" w:lineRule="auto"/>
        <w:rPr>
          <w:rFonts w:hint="default" w:ascii="Times New Roman" w:hAnsi="Times New Roman" w:eastAsia="仿宋_GB2312" w:cs="Times New Roman"/>
          <w:b/>
          <w:sz w:val="28"/>
          <w:szCs w:val="24"/>
        </w:rPr>
      </w:pPr>
      <w:r>
        <w:rPr>
          <w:rFonts w:hint="default" w:ascii="Times New Roman" w:hAnsi="Times New Roman" w:eastAsia="仿宋_GB2312" w:cs="Times New Roman"/>
          <w:b w:val="0"/>
          <w:bCs/>
          <w:kern w:val="2"/>
          <w:sz w:val="28"/>
          <w:szCs w:val="24"/>
        </w:rPr>
        <w:t>硫丹、林丹、氯丹、杀虫脒、氟虫胺、甲胺磷、对硫磷、甲基对硫磷、久效磷、磷胺、苯线磷、地虫硫磷、甲基硫环磷、硫线磷、蝇毒磷、治螟磷、特丁硫磷、甲拌磷、甲基异柳磷、水胺硫磷、灭线磷、杀扑磷、氧乐果、克百威、灭多威、涕灭威</w:t>
      </w:r>
      <w:r>
        <w:rPr>
          <w:rFonts w:hint="default" w:ascii="Times New Roman" w:hAnsi="Times New Roman" w:eastAsia="仿宋_GB2312" w:cs="Times New Roman"/>
          <w:b w:val="0"/>
          <w:bCs/>
          <w:kern w:val="2"/>
          <w:sz w:val="28"/>
          <w:szCs w:val="24"/>
          <w:lang w:eastAsia="zh-CN"/>
        </w:rPr>
        <w:t>、</w:t>
      </w:r>
      <w:r>
        <w:rPr>
          <w:rFonts w:hint="default" w:ascii="Times New Roman" w:hAnsi="Times New Roman" w:eastAsia="仿宋_GB2312" w:cs="Times New Roman"/>
          <w:b w:val="0"/>
          <w:bCs/>
          <w:kern w:val="2"/>
          <w:sz w:val="28"/>
          <w:szCs w:val="24"/>
        </w:rPr>
        <w:t>2,4-滴丁酯</w:t>
      </w:r>
      <w:r>
        <w:rPr>
          <w:rFonts w:hint="default" w:ascii="Times New Roman" w:hAnsi="Times New Roman" w:eastAsia="仿宋_GB2312" w:cs="Times New Roman"/>
          <w:b/>
          <w:sz w:val="28"/>
          <w:szCs w:val="24"/>
        </w:rPr>
        <w:t>。</w:t>
      </w:r>
    </w:p>
    <w:p w14:paraId="41B92B80">
      <w:pPr>
        <w:spacing w:line="360" w:lineRule="auto"/>
        <w:rPr>
          <w:rFonts w:hint="default" w:ascii="Times New Roman" w:hAnsi="Times New Roman" w:eastAsia="仿宋_GB2312" w:cs="Times New Roman"/>
          <w:b/>
          <w:sz w:val="28"/>
          <w:szCs w:val="24"/>
        </w:rPr>
      </w:pPr>
    </w:p>
    <w:p w14:paraId="29374310">
      <w:pPr>
        <w:spacing w:line="360" w:lineRule="auto"/>
        <w:rPr>
          <w:rFonts w:hint="default" w:ascii="Times New Roman" w:hAnsi="Times New Roman" w:eastAsia="仿宋_GB2312" w:cs="Times New Roman"/>
          <w:b/>
          <w:sz w:val="28"/>
          <w:szCs w:val="24"/>
        </w:rPr>
      </w:pPr>
      <w:r>
        <w:rPr>
          <w:rFonts w:hint="default" w:ascii="Times New Roman" w:hAnsi="Times New Roman" w:eastAsia="仿宋_GB2312" w:cs="Times New Roman"/>
          <w:b/>
          <w:sz w:val="28"/>
          <w:szCs w:val="24"/>
        </w:rPr>
        <w:t>限制使用农药：</w:t>
      </w:r>
    </w:p>
    <w:p w14:paraId="7B3724DC">
      <w:pPr>
        <w:spacing w:line="360" w:lineRule="auto"/>
        <w:rPr>
          <w:rFonts w:hint="default" w:ascii="Times New Roman" w:hAnsi="Times New Roman" w:eastAsia="仿宋_GB2312" w:cs="Times New Roman"/>
          <w:b/>
          <w:sz w:val="28"/>
          <w:szCs w:val="24"/>
        </w:rPr>
      </w:pPr>
      <w:r>
        <w:rPr>
          <w:rFonts w:hint="default" w:ascii="Times New Roman" w:hAnsi="Times New Roman" w:eastAsia="仿宋_GB2312" w:cs="Times New Roman"/>
          <w:b w:val="0"/>
          <w:bCs/>
          <w:sz w:val="28"/>
          <w:szCs w:val="24"/>
        </w:rPr>
        <w:t>乙酰甲胺磷、丁硫克百威、乐果</w:t>
      </w:r>
      <w:r>
        <w:rPr>
          <w:rFonts w:hint="default" w:ascii="Times New Roman" w:hAnsi="Times New Roman" w:eastAsia="仿宋_GB2312" w:cs="Times New Roman"/>
          <w:b w:val="0"/>
          <w:bCs/>
          <w:sz w:val="28"/>
          <w:szCs w:val="24"/>
          <w:lang w:eastAsia="zh-CN"/>
        </w:rPr>
        <w:t>、</w:t>
      </w:r>
      <w:r>
        <w:rPr>
          <w:rFonts w:hint="default" w:ascii="Times New Roman" w:hAnsi="Times New Roman" w:eastAsia="仿宋_GB2312" w:cs="Times New Roman"/>
          <w:b w:val="0"/>
          <w:bCs/>
          <w:sz w:val="28"/>
          <w:szCs w:val="24"/>
        </w:rPr>
        <w:t>内吸磷、硫环磷、氯唑磷</w:t>
      </w:r>
      <w:r>
        <w:rPr>
          <w:rFonts w:hint="default" w:ascii="Times New Roman" w:hAnsi="Times New Roman" w:eastAsia="仿宋_GB2312" w:cs="Times New Roman"/>
          <w:b w:val="0"/>
          <w:bCs/>
          <w:sz w:val="28"/>
          <w:szCs w:val="24"/>
          <w:lang w:eastAsia="zh-CN"/>
        </w:rPr>
        <w:t>、氟虫腈</w:t>
      </w:r>
      <w:r>
        <w:rPr>
          <w:rFonts w:hint="default" w:ascii="Times New Roman" w:hAnsi="Times New Roman" w:eastAsia="仿宋_GB2312" w:cs="Times New Roman"/>
          <w:b/>
          <w:sz w:val="28"/>
          <w:szCs w:val="24"/>
        </w:rPr>
        <w:t>。</w:t>
      </w:r>
    </w:p>
    <w:p w14:paraId="517AA10C">
      <w:pPr>
        <w:rPr>
          <w:rFonts w:hint="default" w:ascii="Times New Roman" w:hAnsi="Times New Roman" w:eastAsia="仿宋_GB2312" w:cs="Times New Roman"/>
          <w:b/>
          <w:sz w:val="28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DC53AB"/>
    <w:rsid w:val="02DC5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3">
    <w:name w:val="Body Text First Indent 2"/>
    <w:basedOn w:val="2"/>
    <w:semiHidden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2025-04-23T02:52:00Z</dcterms:created>
  <dc:creator>G</dc:creator>
  <cp:lastModifiedBy>G</cp:lastModifiedBy>
  <dcterms:modified xsi:type="dcterms:W3CDTF">2025-04-23T02:53:56Z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13C784C2838942BAAD294E08060B0668_11</vt:lpwstr>
  </property>
  <property fmtid="{D5CDD505-2E9C-101B-9397-08002B2CF9AE}" pid="4" name="KSOTemplateDocerSaveRecord">
    <vt:lpwstr>eyJoZGlkIjoiZWUwNmUzNzFjNGQxMGVlMmVmN2E5MzJlOGViNzk4MDciLCJ1c2VySWQiOiI0MDYzNDg2MjQifQ==</vt:lpwstr>
  </property>
</Properties>
</file>