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
          <w:sz w:val="32"/>
          <w:szCs w:val="32"/>
        </w:rPr>
      </w:pPr>
      <w:r>
        <w:rPr>
          <w:rFonts w:hint="eastAsia" w:ascii="黑体" w:hAnsi="黑体" w:eastAsia="黑体" w:cs="黑体"/>
          <w:sz w:val="32"/>
          <w:szCs w:val="32"/>
        </w:rPr>
        <w:t>附件1</w:t>
      </w:r>
    </w:p>
    <w:p>
      <w:pPr>
        <w:jc w:val="center"/>
        <w:rPr>
          <w:rFonts w:ascii="Times New Roman" w:hAnsi="Times New Roman" w:eastAsia="华文中宋"/>
          <w:b/>
          <w:sz w:val="36"/>
          <w:szCs w:val="32"/>
        </w:rPr>
      </w:pPr>
      <w:r>
        <w:rPr>
          <w:rFonts w:ascii="Times New Roman" w:hAnsi="Times New Roman" w:eastAsia="华文中宋"/>
          <w:b/>
          <w:sz w:val="36"/>
          <w:szCs w:val="32"/>
        </w:rPr>
        <w:t>“202</w:t>
      </w:r>
      <w:r>
        <w:rPr>
          <w:rFonts w:hint="eastAsia" w:ascii="Times New Roman" w:hAnsi="Times New Roman" w:eastAsia="华文中宋"/>
          <w:b/>
          <w:sz w:val="36"/>
          <w:szCs w:val="32"/>
        </w:rPr>
        <w:t>4</w:t>
      </w:r>
      <w:r>
        <w:rPr>
          <w:rFonts w:ascii="Times New Roman" w:hAnsi="Times New Roman" w:eastAsia="华文中宋"/>
          <w:b/>
          <w:sz w:val="36"/>
          <w:szCs w:val="32"/>
        </w:rPr>
        <w:t>年全国优质荔枝擂台赛”</w:t>
      </w:r>
      <w:r>
        <w:rPr>
          <w:rFonts w:hint="eastAsia" w:ascii="Times New Roman" w:hAnsi="Times New Roman" w:eastAsia="华文中宋"/>
          <w:b/>
          <w:sz w:val="36"/>
          <w:szCs w:val="32"/>
        </w:rPr>
        <w:t>活动方案</w:t>
      </w:r>
    </w:p>
    <w:p>
      <w:pPr>
        <w:rPr>
          <w:rFonts w:ascii="Times New Roman" w:hAnsi="Times New Roman" w:eastAsia="仿宋"/>
          <w:sz w:val="32"/>
          <w:szCs w:val="32"/>
        </w:rPr>
      </w:pPr>
    </w:p>
    <w:p>
      <w:pPr>
        <w:ind w:firstLine="640" w:firstLineChars="200"/>
        <w:rPr>
          <w:rFonts w:ascii="Times New Roman" w:hAnsi="Times New Roman" w:eastAsia="仿宋_GB2312"/>
          <w:sz w:val="32"/>
          <w:szCs w:val="32"/>
        </w:rPr>
      </w:pPr>
      <w:r>
        <w:rPr>
          <w:rFonts w:ascii="Times New Roman" w:hAnsi="Times New Roman" w:eastAsia="仿宋_GB2312"/>
          <w:sz w:val="32"/>
          <w:szCs w:val="32"/>
        </w:rPr>
        <w:t>为保证“202</w:t>
      </w:r>
      <w:r>
        <w:rPr>
          <w:rFonts w:hint="eastAsia" w:ascii="Times New Roman" w:hAnsi="Times New Roman" w:eastAsia="仿宋_GB2312"/>
          <w:sz w:val="32"/>
          <w:szCs w:val="32"/>
        </w:rPr>
        <w:t>4</w:t>
      </w:r>
      <w:r>
        <w:rPr>
          <w:rFonts w:ascii="Times New Roman" w:hAnsi="Times New Roman" w:eastAsia="仿宋_GB2312"/>
          <w:sz w:val="32"/>
          <w:szCs w:val="32"/>
        </w:rPr>
        <w:t>年全国优质荔枝擂台赛”的科学性、公平性和公正性，制定本</w:t>
      </w:r>
      <w:r>
        <w:rPr>
          <w:rFonts w:hint="eastAsia" w:ascii="Times New Roman" w:hAnsi="Times New Roman" w:eastAsia="仿宋_GB2312"/>
          <w:sz w:val="32"/>
          <w:szCs w:val="32"/>
        </w:rPr>
        <w:t>活动方案</w:t>
      </w:r>
      <w:r>
        <w:rPr>
          <w:rFonts w:ascii="Times New Roman" w:hAnsi="Times New Roman" w:eastAsia="仿宋_GB2312"/>
          <w:sz w:val="32"/>
          <w:szCs w:val="32"/>
        </w:rPr>
        <w:t>。</w:t>
      </w:r>
    </w:p>
    <w:p>
      <w:pPr>
        <w:ind w:firstLine="640" w:firstLineChars="200"/>
        <w:rPr>
          <w:rFonts w:ascii="Times New Roman" w:hAnsi="Times New Roman" w:eastAsia="黑体"/>
          <w:sz w:val="32"/>
          <w:szCs w:val="32"/>
        </w:rPr>
      </w:pPr>
      <w:r>
        <w:rPr>
          <w:rFonts w:ascii="Times New Roman" w:hAnsi="Times New Roman" w:eastAsia="黑体"/>
          <w:sz w:val="32"/>
          <w:szCs w:val="32"/>
        </w:rPr>
        <w:t>一、参</w:t>
      </w:r>
      <w:r>
        <w:rPr>
          <w:rFonts w:hint="eastAsia" w:ascii="Times New Roman" w:hAnsi="Times New Roman" w:eastAsia="黑体"/>
          <w:sz w:val="32"/>
          <w:szCs w:val="32"/>
        </w:rPr>
        <w:t>赛</w:t>
      </w:r>
      <w:r>
        <w:rPr>
          <w:rFonts w:ascii="Times New Roman" w:hAnsi="Times New Roman" w:eastAsia="黑体"/>
          <w:sz w:val="32"/>
          <w:szCs w:val="32"/>
        </w:rPr>
        <w:t>主体</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中国荔枝产业联盟</w:t>
      </w:r>
      <w:r>
        <w:rPr>
          <w:rFonts w:hint="eastAsia" w:ascii="Times New Roman" w:hAnsi="Times New Roman" w:eastAsia="仿宋_GB2312"/>
          <w:sz w:val="32"/>
          <w:szCs w:val="32"/>
        </w:rPr>
        <w:t>成员</w:t>
      </w:r>
      <w:r>
        <w:rPr>
          <w:rFonts w:ascii="Times New Roman" w:hAnsi="Times New Roman" w:eastAsia="仿宋_GB2312"/>
          <w:sz w:val="32"/>
          <w:szCs w:val="32"/>
        </w:rPr>
        <w:t>单位、国家荔枝龙眼产业技术体系荔枝试验示范基地、</w:t>
      </w:r>
      <w:r>
        <w:rPr>
          <w:rFonts w:hint="eastAsia" w:ascii="Times New Roman" w:hAnsi="Times New Roman" w:eastAsia="仿宋_GB2312"/>
          <w:sz w:val="32"/>
          <w:szCs w:val="32"/>
        </w:rPr>
        <w:t>国家及</w:t>
      </w:r>
      <w:r>
        <w:rPr>
          <w:rFonts w:ascii="Times New Roman" w:hAnsi="Times New Roman" w:eastAsia="仿宋_GB2312"/>
          <w:sz w:val="32"/>
          <w:szCs w:val="32"/>
        </w:rPr>
        <w:t>省</w:t>
      </w:r>
      <w:r>
        <w:rPr>
          <w:rFonts w:hint="eastAsia" w:ascii="Times New Roman" w:hAnsi="Times New Roman" w:eastAsia="仿宋_GB2312"/>
          <w:sz w:val="32"/>
          <w:szCs w:val="32"/>
        </w:rPr>
        <w:t>级</w:t>
      </w:r>
      <w:r>
        <w:rPr>
          <w:rFonts w:ascii="Times New Roman" w:hAnsi="Times New Roman" w:eastAsia="仿宋_GB2312"/>
          <w:sz w:val="32"/>
          <w:szCs w:val="32"/>
        </w:rPr>
        <w:t>荔枝标准化生产示范园（包括种植企事业单位、农民专业合作社、家庭农场、种植大户等）。</w:t>
      </w:r>
    </w:p>
    <w:p>
      <w:pPr>
        <w:ind w:firstLine="640" w:firstLineChars="200"/>
        <w:rPr>
          <w:rFonts w:ascii="Times New Roman" w:hAnsi="Times New Roman" w:eastAsia="黑体"/>
          <w:sz w:val="32"/>
          <w:szCs w:val="32"/>
        </w:rPr>
      </w:pPr>
      <w:r>
        <w:rPr>
          <w:rFonts w:ascii="Times New Roman" w:hAnsi="Times New Roman" w:eastAsia="黑体"/>
          <w:sz w:val="32"/>
          <w:szCs w:val="32"/>
        </w:rPr>
        <w:t>二、参</w:t>
      </w:r>
      <w:r>
        <w:rPr>
          <w:rFonts w:hint="eastAsia" w:ascii="Times New Roman" w:hAnsi="Times New Roman" w:eastAsia="黑体"/>
          <w:sz w:val="32"/>
          <w:szCs w:val="32"/>
        </w:rPr>
        <w:t>赛</w:t>
      </w:r>
      <w:r>
        <w:rPr>
          <w:rFonts w:ascii="Times New Roman" w:hAnsi="Times New Roman" w:eastAsia="黑体"/>
          <w:sz w:val="32"/>
          <w:szCs w:val="32"/>
        </w:rPr>
        <w:t>品种和奖项分类</w:t>
      </w:r>
    </w:p>
    <w:p>
      <w:pPr>
        <w:ind w:firstLine="643" w:firstLineChars="200"/>
        <w:rPr>
          <w:rFonts w:ascii="Times New Roman" w:hAnsi="Times New Roman" w:eastAsia="仿宋_GB2312"/>
          <w:sz w:val="32"/>
          <w:szCs w:val="32"/>
        </w:rPr>
      </w:pPr>
      <w:r>
        <w:rPr>
          <w:rFonts w:ascii="Times New Roman" w:hAnsi="Times New Roman" w:eastAsia="仿宋_GB2312"/>
          <w:b/>
          <w:sz w:val="32"/>
          <w:szCs w:val="32"/>
        </w:rPr>
        <w:t>（一）单一品种类</w:t>
      </w:r>
      <w:r>
        <w:rPr>
          <w:rFonts w:ascii="Times New Roman" w:hAnsi="Times New Roman" w:eastAsia="仿宋_GB2312"/>
          <w:sz w:val="32"/>
          <w:szCs w:val="32"/>
        </w:rPr>
        <w:t>：桂味类（桂味、带绿</w:t>
      </w:r>
      <w:r>
        <w:rPr>
          <w:rFonts w:hint="eastAsia" w:ascii="Times New Roman" w:hAnsi="Times New Roman" w:eastAsia="仿宋_GB2312"/>
          <w:sz w:val="32"/>
          <w:szCs w:val="32"/>
        </w:rPr>
        <w:t>等</w:t>
      </w:r>
      <w:r>
        <w:rPr>
          <w:rFonts w:ascii="Times New Roman" w:hAnsi="Times New Roman" w:eastAsia="仿宋_GB2312"/>
          <w:sz w:val="32"/>
          <w:szCs w:val="32"/>
        </w:rPr>
        <w:t>）、糯米糍类（糯米糍、仙进奉、井岗红糯、岭丰糯等）；</w:t>
      </w:r>
    </w:p>
    <w:p>
      <w:pPr>
        <w:ind w:firstLine="643" w:firstLineChars="200"/>
        <w:rPr>
          <w:rFonts w:ascii="Times New Roman" w:hAnsi="Times New Roman" w:eastAsia="仿宋_GB2312"/>
          <w:sz w:val="32"/>
          <w:szCs w:val="32"/>
        </w:rPr>
      </w:pPr>
      <w:r>
        <w:rPr>
          <w:rFonts w:hint="eastAsia" w:ascii="Times New Roman" w:hAnsi="Times New Roman" w:eastAsia="仿宋_GB2312"/>
          <w:b/>
          <w:sz w:val="32"/>
          <w:szCs w:val="32"/>
        </w:rPr>
        <w:t>（二）</w:t>
      </w:r>
      <w:r>
        <w:rPr>
          <w:rFonts w:ascii="Times New Roman" w:hAnsi="Times New Roman" w:eastAsia="仿宋_GB2312"/>
          <w:b/>
          <w:sz w:val="32"/>
          <w:szCs w:val="32"/>
        </w:rPr>
        <w:t>早熟优质品种类</w:t>
      </w:r>
      <w:r>
        <w:rPr>
          <w:rFonts w:ascii="Times New Roman" w:hAnsi="Times New Roman" w:eastAsia="仿宋_GB2312"/>
          <w:sz w:val="32"/>
          <w:szCs w:val="32"/>
        </w:rPr>
        <w:t>：白糖罂、妃子笑</w:t>
      </w:r>
      <w:r>
        <w:rPr>
          <w:rFonts w:hint="eastAsia" w:ascii="Times New Roman" w:hAnsi="Times New Roman" w:eastAsia="仿宋_GB2312"/>
          <w:sz w:val="32"/>
          <w:szCs w:val="32"/>
        </w:rPr>
        <w:t>等</w:t>
      </w:r>
      <w:r>
        <w:rPr>
          <w:rFonts w:ascii="Times New Roman" w:hAnsi="Times New Roman" w:eastAsia="仿宋_GB2312"/>
          <w:sz w:val="32"/>
          <w:szCs w:val="32"/>
        </w:rPr>
        <w:t>；</w:t>
      </w:r>
    </w:p>
    <w:p>
      <w:pPr>
        <w:ind w:firstLine="643" w:firstLineChars="200"/>
        <w:rPr>
          <w:rFonts w:ascii="Times New Roman" w:hAnsi="Times New Roman" w:eastAsia="仿宋_GB2312"/>
          <w:sz w:val="32"/>
          <w:szCs w:val="32"/>
        </w:rPr>
      </w:pPr>
      <w:r>
        <w:rPr>
          <w:rFonts w:hint="eastAsia" w:ascii="Times New Roman" w:hAnsi="Times New Roman" w:eastAsia="仿宋_GB2312"/>
          <w:b/>
          <w:bCs/>
          <w:sz w:val="32"/>
          <w:szCs w:val="32"/>
        </w:rPr>
        <w:t>（三）</w:t>
      </w:r>
      <w:r>
        <w:rPr>
          <w:rFonts w:ascii="Times New Roman" w:hAnsi="Times New Roman" w:eastAsia="仿宋_GB2312"/>
          <w:b/>
          <w:sz w:val="32"/>
          <w:szCs w:val="32"/>
        </w:rPr>
        <w:t>地方特色品种类</w:t>
      </w:r>
      <w:r>
        <w:rPr>
          <w:rFonts w:ascii="Times New Roman" w:hAnsi="Times New Roman" w:eastAsia="仿宋_GB2312"/>
          <w:sz w:val="32"/>
          <w:szCs w:val="32"/>
        </w:rPr>
        <w:t>：视各样品送样数量进行分类，主要包括观音绿、御金球、唐夏红、冰荔、无核荔</w:t>
      </w:r>
      <w:r>
        <w:rPr>
          <w:rFonts w:hint="eastAsia" w:ascii="Times New Roman" w:hAnsi="Times New Roman" w:eastAsia="仿宋_GB2312"/>
          <w:sz w:val="32"/>
          <w:szCs w:val="32"/>
        </w:rPr>
        <w:t>、凤山红灯笼、</w:t>
      </w:r>
      <w:r>
        <w:rPr>
          <w:rFonts w:ascii="Times New Roman" w:hAnsi="Times New Roman" w:eastAsia="仿宋_GB2312"/>
          <w:sz w:val="32"/>
          <w:szCs w:val="32"/>
        </w:rPr>
        <w:t>挂绿、北园绿、新兴香荔、灵山香荔、桂早荔、鸡嘴荔、翡脆、水晶球、甜岩、丁香等。</w:t>
      </w:r>
      <w:r>
        <w:rPr>
          <w:rFonts w:ascii="Times New Roman" w:hAnsi="Times New Roman" w:eastAsia="仿宋_GB2312"/>
          <w:sz w:val="32"/>
          <w:szCs w:val="32"/>
        </w:rPr>
        <w:br w:type="textWrapping"/>
      </w:r>
      <w:r>
        <w:rPr>
          <w:rFonts w:hint="eastAsia" w:ascii="Times New Roman" w:hAnsi="Times New Roman" w:eastAsia="仿宋_GB2312"/>
          <w:sz w:val="32"/>
          <w:szCs w:val="32"/>
        </w:rPr>
        <w:t xml:space="preserve">    送测样品应为已经通过品种审定或登记的品种，不接收自已命名的荔枝样品。</w:t>
      </w:r>
    </w:p>
    <w:p>
      <w:pPr>
        <w:ind w:firstLine="640" w:firstLineChars="200"/>
        <w:rPr>
          <w:rFonts w:ascii="Times New Roman" w:hAnsi="Times New Roman" w:eastAsia="仿宋_GB2312"/>
          <w:sz w:val="32"/>
          <w:szCs w:val="32"/>
        </w:rPr>
      </w:pPr>
      <w:r>
        <w:rPr>
          <w:rFonts w:ascii="Times New Roman" w:hAnsi="Times New Roman" w:eastAsia="仿宋_GB2312"/>
          <w:sz w:val="32"/>
          <w:szCs w:val="32"/>
        </w:rPr>
        <w:t>每类奖项设金（占5%）、银（占10%）和铜奖（占15%），由中国荔枝产业联盟颁布并发证。</w:t>
      </w:r>
    </w:p>
    <w:p>
      <w:pPr>
        <w:ind w:firstLine="640" w:firstLineChars="200"/>
        <w:rPr>
          <w:rFonts w:ascii="Times New Roman" w:hAnsi="Times New Roman" w:eastAsia="仿宋"/>
          <w:sz w:val="32"/>
          <w:szCs w:val="32"/>
        </w:rPr>
      </w:pPr>
      <w:r>
        <w:rPr>
          <w:rFonts w:ascii="Times New Roman" w:hAnsi="Times New Roman" w:eastAsia="黑体"/>
          <w:sz w:val="32"/>
          <w:szCs w:val="32"/>
        </w:rPr>
        <w:t xml:space="preserve">三、参评样品寄送要求 </w:t>
      </w:r>
      <w:r>
        <w:rPr>
          <w:rFonts w:ascii="Times New Roman" w:hAnsi="Times New Roman" w:eastAsia="仿宋"/>
          <w:sz w:val="32"/>
          <w:szCs w:val="32"/>
        </w:rPr>
        <w:t xml:space="preserve">            </w:t>
      </w:r>
    </w:p>
    <w:p>
      <w:pPr>
        <w:ind w:firstLine="643" w:firstLineChars="200"/>
        <w:rPr>
          <w:rFonts w:ascii="Times New Roman" w:hAnsi="Times New Roman" w:eastAsia="仿宋_GB2312"/>
          <w:sz w:val="32"/>
          <w:szCs w:val="32"/>
        </w:rPr>
      </w:pPr>
      <w:r>
        <w:rPr>
          <w:rFonts w:ascii="Times New Roman" w:hAnsi="Times New Roman" w:eastAsia="仿宋_GB2312"/>
          <w:b/>
          <w:sz w:val="32"/>
          <w:szCs w:val="32"/>
        </w:rPr>
        <w:t>采样要求：</w:t>
      </w:r>
      <w:r>
        <w:rPr>
          <w:rFonts w:ascii="Times New Roman" w:hAnsi="Times New Roman" w:eastAsia="仿宋_GB2312"/>
          <w:sz w:val="32"/>
          <w:szCs w:val="32"/>
        </w:rPr>
        <w:t>荔枝样品以清晨采摘为宜，请勿在中午或下午采摘，采摘时需按果穗采收、包装和送样，剔除烂果、病虫果，使用保鲜盒（或泡沫箱）包装，样品量5kg以上，内附冰袋（果:冰重量比约3:1）。送样时需同时附上参赛承诺书（附件2，签名或盖公章）及样品信息表（附件3，要有联系人电话），样品信息表要写清楚送样单位名称或个人果园名称，若获奖，该名称将作为奖励证书中获奖人名称。否则不予参评。</w:t>
      </w:r>
    </w:p>
    <w:p>
      <w:pPr>
        <w:ind w:firstLine="643" w:firstLineChars="200"/>
        <w:rPr>
          <w:rFonts w:ascii="Times New Roman" w:hAnsi="Times New Roman" w:eastAsia="仿宋_GB2312"/>
          <w:sz w:val="32"/>
          <w:szCs w:val="32"/>
        </w:rPr>
      </w:pPr>
      <w:r>
        <w:rPr>
          <w:rFonts w:ascii="Times New Roman" w:hAnsi="Times New Roman" w:eastAsia="仿宋_GB2312"/>
          <w:b/>
          <w:sz w:val="32"/>
          <w:szCs w:val="32"/>
        </w:rPr>
        <w:t>邮寄地址：</w:t>
      </w:r>
      <w:r>
        <w:rPr>
          <w:rFonts w:ascii="Times New Roman" w:hAnsi="Times New Roman" w:eastAsia="仿宋_GB2312"/>
          <w:sz w:val="32"/>
          <w:szCs w:val="32"/>
        </w:rPr>
        <w:t>请参赛者用顺丰快递寄至广东省广州市天河区五山路483号华南农业大学园艺学院（联系人：罗焘，13808893642）。快递费用自理。</w:t>
      </w:r>
    </w:p>
    <w:p>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w:t>
      </w:r>
      <w:r>
        <w:rPr>
          <w:rFonts w:hint="eastAsia" w:ascii="Times New Roman" w:hAnsi="Times New Roman" w:eastAsia="黑体"/>
          <w:sz w:val="32"/>
          <w:szCs w:val="32"/>
        </w:rPr>
        <w:t>测评</w:t>
      </w:r>
      <w:r>
        <w:rPr>
          <w:rFonts w:ascii="Times New Roman" w:hAnsi="Times New Roman" w:eastAsia="黑体"/>
          <w:sz w:val="32"/>
          <w:szCs w:val="32"/>
        </w:rPr>
        <w:t>方法</w:t>
      </w:r>
    </w:p>
    <w:p>
      <w:pPr>
        <w:adjustRightInd w:val="0"/>
        <w:snapToGrid w:val="0"/>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rPr>
        <w:t>（一）专家组。</w:t>
      </w:r>
      <w:r>
        <w:rPr>
          <w:rFonts w:ascii="Times New Roman" w:hAnsi="Times New Roman" w:eastAsia="仿宋_GB2312"/>
          <w:sz w:val="32"/>
          <w:szCs w:val="32"/>
        </w:rPr>
        <w:t>专家组由国家荔枝龙眼产业技术体系首席科学家陈厚彬研究员</w:t>
      </w:r>
      <w:r>
        <w:rPr>
          <w:rFonts w:hint="eastAsia" w:ascii="Times New Roman" w:hAnsi="Times New Roman" w:eastAsia="仿宋_GB2312"/>
          <w:sz w:val="32"/>
          <w:szCs w:val="32"/>
        </w:rPr>
        <w:t>担任组长</w:t>
      </w:r>
      <w:r>
        <w:rPr>
          <w:rFonts w:ascii="Times New Roman" w:hAnsi="Times New Roman" w:eastAsia="仿宋_GB2312"/>
          <w:sz w:val="32"/>
          <w:szCs w:val="32"/>
        </w:rPr>
        <w:t>，成员主要由在穗的产业技术体系岗位专家组成，包括胡桂兵、李建国、姜子德、姚丽贤、</w:t>
      </w:r>
      <w:r>
        <w:rPr>
          <w:rFonts w:hint="eastAsia" w:ascii="Times New Roman" w:hAnsi="Times New Roman" w:eastAsia="仿宋_GB2312"/>
          <w:sz w:val="32"/>
          <w:szCs w:val="32"/>
        </w:rPr>
        <w:t>李君、姚琼</w:t>
      </w:r>
      <w:r>
        <w:rPr>
          <w:rFonts w:ascii="Times New Roman" w:hAnsi="Times New Roman" w:eastAsia="仿宋_GB2312"/>
          <w:sz w:val="32"/>
          <w:szCs w:val="32"/>
        </w:rPr>
        <w:t>、</w:t>
      </w:r>
      <w:r>
        <w:rPr>
          <w:rFonts w:hint="eastAsia" w:ascii="Times New Roman" w:hAnsi="Times New Roman" w:eastAsia="仿宋_GB2312"/>
          <w:sz w:val="32"/>
          <w:szCs w:val="32"/>
        </w:rPr>
        <w:t>王思威</w:t>
      </w:r>
      <w:r>
        <w:rPr>
          <w:rFonts w:ascii="Times New Roman" w:hAnsi="Times New Roman" w:eastAsia="仿宋_GB2312"/>
          <w:sz w:val="32"/>
          <w:szCs w:val="32"/>
        </w:rPr>
        <w:t>、李敦松、黄旭明</w:t>
      </w:r>
      <w:r>
        <w:rPr>
          <w:rFonts w:hint="eastAsia" w:ascii="Times New Roman" w:hAnsi="Times New Roman" w:eastAsia="仿宋_GB2312"/>
          <w:sz w:val="32"/>
          <w:szCs w:val="32"/>
        </w:rPr>
        <w:t>、刘成明、</w:t>
      </w:r>
      <w:r>
        <w:rPr>
          <w:rFonts w:ascii="Times New Roman" w:hAnsi="Times New Roman" w:eastAsia="仿宋_GB2312"/>
          <w:sz w:val="32"/>
          <w:szCs w:val="32"/>
        </w:rPr>
        <w:t>和吴振先等</w:t>
      </w:r>
      <w:r>
        <w:rPr>
          <w:rFonts w:hint="eastAsia" w:ascii="Times New Roman" w:hAnsi="Times New Roman" w:eastAsia="仿宋_GB2312"/>
          <w:sz w:val="32"/>
          <w:szCs w:val="32"/>
        </w:rPr>
        <w:t>专家</w:t>
      </w:r>
      <w:r>
        <w:rPr>
          <w:rFonts w:ascii="Times New Roman" w:hAnsi="Times New Roman" w:eastAsia="仿宋_GB2312"/>
          <w:sz w:val="32"/>
          <w:szCs w:val="32"/>
        </w:rPr>
        <w:t>。</w:t>
      </w:r>
    </w:p>
    <w:p>
      <w:pPr>
        <w:adjustRightInd w:val="0"/>
        <w:snapToGrid w:val="0"/>
        <w:spacing w:line="600" w:lineRule="exact"/>
        <w:ind w:firstLine="643" w:firstLineChars="200"/>
        <w:rPr>
          <w:rFonts w:ascii="Times New Roman" w:hAnsi="Times New Roman" w:eastAsia="仿宋_GB2312"/>
          <w:sz w:val="32"/>
          <w:szCs w:val="32"/>
        </w:rPr>
      </w:pPr>
      <w:r>
        <w:rPr>
          <w:rFonts w:ascii="Times New Roman" w:hAnsi="Times New Roman" w:eastAsia="楷体_GB2312"/>
          <w:b/>
          <w:sz w:val="32"/>
          <w:szCs w:val="32"/>
        </w:rPr>
        <w:t>（二）</w:t>
      </w:r>
      <w:r>
        <w:rPr>
          <w:rFonts w:hint="eastAsia" w:ascii="Times New Roman" w:hAnsi="Times New Roman" w:eastAsia="楷体_GB2312"/>
          <w:b/>
          <w:sz w:val="32"/>
          <w:szCs w:val="32"/>
        </w:rPr>
        <w:t>打分</w:t>
      </w:r>
      <w:r>
        <w:rPr>
          <w:rFonts w:ascii="Times New Roman" w:hAnsi="Times New Roman" w:eastAsia="楷体_GB2312"/>
          <w:b/>
          <w:sz w:val="32"/>
          <w:szCs w:val="32"/>
        </w:rPr>
        <w:t>标准。</w:t>
      </w:r>
      <w:r>
        <w:rPr>
          <w:rFonts w:ascii="Times New Roman" w:hAnsi="Times New Roman" w:eastAsia="仿宋_GB2312"/>
          <w:sz w:val="32"/>
          <w:szCs w:val="32"/>
        </w:rPr>
        <w:t>评比指标和分值经体系研发中心组织专家修改，并审议通过（表１）。</w:t>
      </w:r>
    </w:p>
    <w:p>
      <w:pPr>
        <w:jc w:val="center"/>
        <w:rPr>
          <w:rFonts w:ascii="Times New Roman" w:hAnsi="Times New Roman"/>
          <w:b/>
          <w:sz w:val="28"/>
          <w:szCs w:val="32"/>
        </w:rPr>
      </w:pPr>
      <w:r>
        <w:rPr>
          <w:rFonts w:ascii="Times New Roman" w:hAnsi="Times New Roman"/>
          <w:b/>
          <w:sz w:val="28"/>
          <w:szCs w:val="32"/>
        </w:rPr>
        <w:t>表1 综合指标和分值</w:t>
      </w:r>
    </w:p>
    <w:tbl>
      <w:tblPr>
        <w:tblStyle w:val="4"/>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43"/>
        <w:gridCol w:w="198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980" w:type="dxa"/>
            <w:noWrap w:val="0"/>
            <w:vAlign w:val="center"/>
          </w:tcPr>
          <w:p>
            <w:pPr>
              <w:adjustRightInd w:val="0"/>
              <w:snapToGrid w:val="0"/>
              <w:jc w:val="center"/>
              <w:rPr>
                <w:rFonts w:ascii="Times New Roman" w:hAnsi="Times New Roman"/>
                <w:b/>
                <w:sz w:val="24"/>
              </w:rPr>
            </w:pPr>
            <w:r>
              <w:rPr>
                <w:rFonts w:ascii="Times New Roman" w:hAnsi="Times New Roman"/>
                <w:b/>
                <w:sz w:val="24"/>
              </w:rPr>
              <w:t>指标</w:t>
            </w:r>
          </w:p>
        </w:tc>
        <w:tc>
          <w:tcPr>
            <w:tcW w:w="1843" w:type="dxa"/>
            <w:noWrap w:val="0"/>
            <w:vAlign w:val="center"/>
          </w:tcPr>
          <w:p>
            <w:pPr>
              <w:adjustRightInd w:val="0"/>
              <w:snapToGrid w:val="0"/>
              <w:jc w:val="center"/>
              <w:rPr>
                <w:rFonts w:ascii="Times New Roman" w:hAnsi="Times New Roman"/>
                <w:b/>
                <w:sz w:val="24"/>
              </w:rPr>
            </w:pPr>
            <w:r>
              <w:rPr>
                <w:rFonts w:ascii="Times New Roman" w:hAnsi="Times New Roman"/>
                <w:b/>
                <w:sz w:val="24"/>
              </w:rPr>
              <w:t>分数</w:t>
            </w:r>
          </w:p>
        </w:tc>
        <w:tc>
          <w:tcPr>
            <w:tcW w:w="1984" w:type="dxa"/>
            <w:noWrap w:val="0"/>
            <w:vAlign w:val="center"/>
          </w:tcPr>
          <w:p>
            <w:pPr>
              <w:adjustRightInd w:val="0"/>
              <w:snapToGrid w:val="0"/>
              <w:jc w:val="center"/>
              <w:rPr>
                <w:rFonts w:ascii="Times New Roman" w:hAnsi="Times New Roman"/>
                <w:b/>
                <w:sz w:val="24"/>
              </w:rPr>
            </w:pPr>
            <w:r>
              <w:rPr>
                <w:rFonts w:ascii="Times New Roman" w:hAnsi="Times New Roman"/>
                <w:b/>
                <w:sz w:val="24"/>
              </w:rPr>
              <w:t>分级</w:t>
            </w:r>
          </w:p>
        </w:tc>
        <w:tc>
          <w:tcPr>
            <w:tcW w:w="2268" w:type="dxa"/>
            <w:noWrap w:val="0"/>
            <w:vAlign w:val="center"/>
          </w:tcPr>
          <w:p>
            <w:pPr>
              <w:adjustRightInd w:val="0"/>
              <w:snapToGrid w:val="0"/>
              <w:jc w:val="center"/>
              <w:rPr>
                <w:rFonts w:ascii="Times New Roman" w:hAnsi="Times New Roman"/>
                <w:b/>
                <w:sz w:val="24"/>
              </w:rPr>
            </w:pPr>
            <w:r>
              <w:rPr>
                <w:rFonts w:ascii="Times New Roman" w:hAnsi="Times New Roman"/>
                <w:b/>
                <w:sz w:val="24"/>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平均单穗重</w:t>
            </w:r>
          </w:p>
          <w:p>
            <w:pPr>
              <w:adjustRightInd w:val="0"/>
              <w:snapToGrid w:val="0"/>
              <w:jc w:val="center"/>
              <w:rPr>
                <w:rFonts w:ascii="Times New Roman" w:hAnsi="Times New Roman"/>
                <w:sz w:val="24"/>
              </w:rPr>
            </w:pPr>
            <w:r>
              <w:rPr>
                <w:rFonts w:ascii="Times New Roman" w:hAnsi="Times New Roman"/>
                <w:sz w:val="24"/>
              </w:rPr>
              <w:t>（kg）</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10</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平均单果重（g）</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15</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果实单果重变异系数</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12</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焦核率（%）</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12</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可食率（%）</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12</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可溶性固形物含量（%）</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15</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果皮颜色</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12</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980"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口感风味</w:t>
            </w:r>
          </w:p>
        </w:tc>
        <w:tc>
          <w:tcPr>
            <w:tcW w:w="1843" w:type="dxa"/>
            <w:vMerge w:val="restart"/>
            <w:noWrap w:val="0"/>
            <w:vAlign w:val="center"/>
          </w:tcPr>
          <w:p>
            <w:pPr>
              <w:adjustRightInd w:val="0"/>
              <w:snapToGrid w:val="0"/>
              <w:jc w:val="center"/>
              <w:rPr>
                <w:rFonts w:ascii="Times New Roman" w:hAnsi="Times New Roman"/>
                <w:sz w:val="24"/>
              </w:rPr>
            </w:pPr>
            <w:r>
              <w:rPr>
                <w:rFonts w:ascii="Times New Roman" w:hAnsi="Times New Roman"/>
                <w:sz w:val="24"/>
              </w:rPr>
              <w:t>12</w:t>
            </w: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noWrap w:val="0"/>
            <w:vAlign w:val="center"/>
          </w:tcPr>
          <w:p>
            <w:pPr>
              <w:adjustRightInd w:val="0"/>
              <w:snapToGrid w:val="0"/>
              <w:jc w:val="center"/>
              <w:rPr>
                <w:rFonts w:ascii="Times New Roman" w:hAnsi="Times New Roman"/>
                <w:sz w:val="24"/>
              </w:rPr>
            </w:pPr>
          </w:p>
        </w:tc>
        <w:tc>
          <w:tcPr>
            <w:tcW w:w="1843" w:type="dxa"/>
            <w:vMerge w:val="continue"/>
            <w:noWrap w:val="0"/>
            <w:vAlign w:val="center"/>
          </w:tcPr>
          <w:p>
            <w:pPr>
              <w:adjustRightInd w:val="0"/>
              <w:snapToGrid w:val="0"/>
              <w:jc w:val="center"/>
              <w:rPr>
                <w:rFonts w:ascii="Times New Roman" w:hAnsi="Times New Roman"/>
                <w:sz w:val="24"/>
              </w:rPr>
            </w:pPr>
          </w:p>
        </w:tc>
        <w:tc>
          <w:tcPr>
            <w:tcW w:w="1984" w:type="dxa"/>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noWrap w:val="0"/>
            <w:vAlign w:val="center"/>
          </w:tcPr>
          <w:p>
            <w:pPr>
              <w:adjustRightInd w:val="0"/>
              <w:snapToGrid w:val="0"/>
              <w:jc w:val="center"/>
              <w:rPr>
                <w:rFonts w:ascii="Times New Roman" w:hAnsi="Times New Roman"/>
                <w:sz w:val="24"/>
              </w:rPr>
            </w:pPr>
            <w:r>
              <w:rPr>
                <w:rFonts w:ascii="Times New Roman" w:hAnsi="Times New Roman"/>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bottom w:val="single" w:color="auto" w:sz="4" w:space="0"/>
            </w:tcBorders>
            <w:noWrap w:val="0"/>
            <w:vAlign w:val="center"/>
          </w:tcPr>
          <w:p>
            <w:pPr>
              <w:adjustRightInd w:val="0"/>
              <w:snapToGrid w:val="0"/>
              <w:jc w:val="center"/>
              <w:rPr>
                <w:rFonts w:ascii="Times New Roman" w:hAnsi="Times New Roman"/>
                <w:sz w:val="24"/>
              </w:rPr>
            </w:pPr>
          </w:p>
        </w:tc>
        <w:tc>
          <w:tcPr>
            <w:tcW w:w="1843" w:type="dxa"/>
            <w:vMerge w:val="continue"/>
            <w:tcBorders>
              <w:bottom w:val="single" w:color="auto" w:sz="4" w:space="0"/>
            </w:tcBorders>
            <w:noWrap w:val="0"/>
            <w:vAlign w:val="center"/>
          </w:tcPr>
          <w:p>
            <w:pPr>
              <w:adjustRightInd w:val="0"/>
              <w:snapToGrid w:val="0"/>
              <w:jc w:val="center"/>
              <w:rPr>
                <w:rFonts w:ascii="Times New Roman" w:hAnsi="Times New Roman"/>
                <w:sz w:val="24"/>
              </w:rPr>
            </w:pPr>
          </w:p>
        </w:tc>
        <w:tc>
          <w:tcPr>
            <w:tcW w:w="1984" w:type="dxa"/>
            <w:tcBorders>
              <w:bottom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tcBorders>
              <w:bottom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restart"/>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安全指标</w:t>
            </w:r>
          </w:p>
        </w:tc>
        <w:tc>
          <w:tcPr>
            <w:tcW w:w="1843" w:type="dxa"/>
            <w:vMerge w:val="restart"/>
            <w:tcBorders>
              <w:top w:val="single" w:color="auto" w:sz="4" w:space="0"/>
              <w:left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一级</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843"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二级</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843"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三级</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843"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四级</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980"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843"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sz w:val="24"/>
              </w:rPr>
            </w:pPr>
          </w:p>
        </w:tc>
        <w:tc>
          <w:tcPr>
            <w:tcW w:w="1984" w:type="dxa"/>
            <w:tcBorders>
              <w:top w:val="nil"/>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五级</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sz w:val="24"/>
              </w:rPr>
            </w:pPr>
            <w:r>
              <w:rPr>
                <w:rFonts w:ascii="Times New Roman" w:hAnsi="Times New Roman"/>
                <w:sz w:val="24"/>
              </w:rPr>
              <w:t>检出禁限用农药</w:t>
            </w:r>
          </w:p>
        </w:tc>
      </w:tr>
    </w:tbl>
    <w:p>
      <w:pPr>
        <w:spacing w:line="360" w:lineRule="auto"/>
        <w:ind w:firstLine="643" w:firstLineChars="200"/>
        <w:contextualSpacing/>
        <w:rPr>
          <w:rFonts w:ascii="Times New Roman" w:hAnsi="Times New Roman" w:eastAsia="仿宋_GB2312"/>
          <w:sz w:val="32"/>
          <w:szCs w:val="32"/>
        </w:rPr>
      </w:pPr>
      <w:r>
        <w:rPr>
          <w:rFonts w:ascii="Times New Roman" w:hAnsi="Times New Roman" w:eastAsia="楷体_GB2312"/>
          <w:b/>
          <w:sz w:val="32"/>
          <w:szCs w:val="32"/>
        </w:rPr>
        <w:t>（三）指标检测。</w:t>
      </w:r>
      <w:r>
        <w:rPr>
          <w:rFonts w:ascii="Times New Roman" w:hAnsi="Times New Roman" w:eastAsia="仿宋_GB2312"/>
          <w:sz w:val="32"/>
          <w:szCs w:val="32"/>
        </w:rPr>
        <w:t>样品于收到当日或次日进行化验分析，采集相关数据。部分定性指标（果皮颜色和口感风味），由专家组成员及时评价打分（统计时去掉1个最高分和1个最低分）。安全指标</w:t>
      </w:r>
      <w:r>
        <w:rPr>
          <w:rFonts w:hint="eastAsia" w:ascii="Times New Roman" w:hAnsi="Times New Roman" w:eastAsia="仿宋_GB2312"/>
          <w:sz w:val="32"/>
          <w:szCs w:val="32"/>
        </w:rPr>
        <w:t>依据《食品安全国家标准 食品中农药最大残留限量》（GB2763）规定进行检测。根据</w:t>
      </w:r>
      <w:r>
        <w:rPr>
          <w:rFonts w:ascii="Times New Roman" w:hAnsi="Times New Roman" w:eastAsia="仿宋_GB2312"/>
          <w:sz w:val="32"/>
          <w:szCs w:val="32"/>
        </w:rPr>
        <w:t>在荔枝上已注册农药残留是否超标和是否使用未注册农药的情况进行评分，若均未检出，则为10分、一级，每检出1项，扣1分，直至0分。金奖需为一级，银奖</w:t>
      </w:r>
      <w:r>
        <w:rPr>
          <w:rFonts w:hint="eastAsia" w:ascii="Times New Roman" w:hAnsi="Times New Roman" w:eastAsia="仿宋_GB2312"/>
          <w:sz w:val="32"/>
          <w:szCs w:val="32"/>
        </w:rPr>
        <w:t>、铜奖均</w:t>
      </w:r>
      <w:r>
        <w:rPr>
          <w:rFonts w:ascii="Times New Roman" w:hAnsi="Times New Roman" w:eastAsia="仿宋_GB2312"/>
          <w:sz w:val="32"/>
          <w:szCs w:val="32"/>
        </w:rPr>
        <w:t>需达到二级及以上，若检出禁限用农药，则不予参评。</w:t>
      </w:r>
    </w:p>
    <w:p>
      <w:pPr>
        <w:spacing w:line="360" w:lineRule="auto"/>
        <w:ind w:firstLine="643" w:firstLineChars="200"/>
        <w:contextualSpacing/>
        <w:rPr>
          <w:rFonts w:ascii="Times New Roman" w:hAnsi="Times New Roman" w:eastAsia="仿宋_GB2312"/>
          <w:sz w:val="32"/>
          <w:szCs w:val="32"/>
        </w:rPr>
      </w:pPr>
      <w:r>
        <w:rPr>
          <w:rFonts w:ascii="Times New Roman" w:hAnsi="Times New Roman" w:eastAsia="楷体_GB2312"/>
          <w:b/>
          <w:sz w:val="32"/>
          <w:szCs w:val="32"/>
        </w:rPr>
        <w:t>（四）分数核算。</w:t>
      </w:r>
      <w:r>
        <w:rPr>
          <w:rFonts w:ascii="Times New Roman" w:hAnsi="Times New Roman" w:eastAsia="仿宋_GB2312"/>
          <w:sz w:val="32"/>
          <w:szCs w:val="32"/>
        </w:rPr>
        <w:t>对参评样品的成绩进行汇总、复核，确定</w:t>
      </w:r>
      <w:r>
        <w:rPr>
          <w:rFonts w:hint="eastAsia" w:ascii="Times New Roman" w:hAnsi="Times New Roman" w:eastAsia="仿宋_GB2312"/>
          <w:sz w:val="32"/>
          <w:szCs w:val="32"/>
        </w:rPr>
        <w:t>竞赛</w:t>
      </w:r>
      <w:r>
        <w:rPr>
          <w:rFonts w:ascii="Times New Roman" w:hAnsi="Times New Roman" w:eastAsia="仿宋_GB2312"/>
          <w:sz w:val="32"/>
          <w:szCs w:val="32"/>
        </w:rPr>
        <w:t>等次。</w:t>
      </w:r>
    </w:p>
    <w:p>
      <w:pPr>
        <w:spacing w:line="360" w:lineRule="auto"/>
        <w:ind w:firstLine="643" w:firstLineChars="200"/>
        <w:contextualSpacing/>
        <w:rPr>
          <w:rFonts w:ascii="Times New Roman" w:hAnsi="Times New Roman" w:eastAsia="仿宋_GB2312"/>
          <w:sz w:val="32"/>
          <w:szCs w:val="32"/>
        </w:rPr>
      </w:pPr>
      <w:r>
        <w:rPr>
          <w:rFonts w:ascii="Times New Roman" w:hAnsi="Times New Roman" w:eastAsia="楷体_GB2312"/>
          <w:b/>
          <w:sz w:val="32"/>
          <w:szCs w:val="32"/>
        </w:rPr>
        <w:t>（五）结果公布。</w:t>
      </w:r>
      <w:r>
        <w:rPr>
          <w:rFonts w:ascii="Times New Roman" w:hAnsi="Times New Roman" w:eastAsia="仿宋_GB2312"/>
          <w:sz w:val="32"/>
          <w:szCs w:val="32"/>
        </w:rPr>
        <w:t>获奖名单将择日公布并颁发证书。</w:t>
      </w:r>
      <w:r>
        <w:rPr>
          <w:rFonts w:hint="eastAsia" w:ascii="Times New Roman" w:hAnsi="Times New Roman" w:eastAsia="仿宋_GB2312"/>
          <w:sz w:val="32"/>
          <w:szCs w:val="32"/>
        </w:rPr>
        <w:t>结果在中国农垦（热作）网、《中国热带农业》期刊、“荔枝龙眼产业资源平台”“中国热带农业”微信公众号等媒体同步宣传推介。</w:t>
      </w:r>
    </w:p>
    <w:p>
      <w:pPr>
        <w:adjustRightInd w:val="0"/>
        <w:snapToGrid w:val="0"/>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五、其他事项</w:t>
      </w:r>
    </w:p>
    <w:p>
      <w:pPr>
        <w:adjustRightInd w:val="0"/>
        <w:snapToGrid w:val="0"/>
        <w:spacing w:line="600" w:lineRule="exact"/>
        <w:ind w:firstLine="640" w:firstLineChars="200"/>
        <w:rPr>
          <w:rFonts w:ascii="Times New Roman" w:hAnsi="Times New Roman"/>
        </w:rPr>
      </w:pPr>
      <w:r>
        <w:rPr>
          <w:rFonts w:ascii="Times New Roman" w:hAnsi="Times New Roman" w:eastAsia="仿宋_GB2312"/>
          <w:sz w:val="32"/>
          <w:szCs w:val="32"/>
        </w:rPr>
        <w:t>参评主体对</w:t>
      </w:r>
      <w:r>
        <w:rPr>
          <w:rFonts w:hint="eastAsia" w:ascii="Times New Roman" w:hAnsi="Times New Roman" w:eastAsia="仿宋_GB2312"/>
          <w:sz w:val="32"/>
          <w:szCs w:val="32"/>
        </w:rPr>
        <w:t>活动</w:t>
      </w:r>
      <w:r>
        <w:rPr>
          <w:rFonts w:ascii="Times New Roman" w:hAnsi="Times New Roman" w:eastAsia="仿宋_GB2312"/>
          <w:sz w:val="32"/>
          <w:szCs w:val="32"/>
        </w:rPr>
        <w:t>结果如有异议，请实名反映至中国荔枝产业联盟秘书处邮箱：rzfzch@163.com。</w:t>
      </w: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pPr>
        <w:pStyle w:val="2"/>
        <w:rPr>
          <w:rFonts w:ascii="Times New Roman" w:hAnsi="Times New Roma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599365F-B651-4FB4-83B9-5171469F067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6347AF5-4697-4D07-BE0A-4ECDAA6E92E2}"/>
  </w:font>
  <w:font w:name="仿宋">
    <w:panose1 w:val="02010609060101010101"/>
    <w:charset w:val="86"/>
    <w:family w:val="modern"/>
    <w:pitch w:val="default"/>
    <w:sig w:usb0="800002BF" w:usb1="38CF7CFA" w:usb2="00000016" w:usb3="00000000" w:csb0="00040001" w:csb1="00000000"/>
    <w:embedRegular r:id="rId3" w:fontKey="{CD0B1472-8564-4F34-8B16-128A375A4138}"/>
  </w:font>
  <w:font w:name="华文中宋">
    <w:panose1 w:val="02010600040101010101"/>
    <w:charset w:val="86"/>
    <w:family w:val="auto"/>
    <w:pitch w:val="default"/>
    <w:sig w:usb0="00000287" w:usb1="080F0000" w:usb2="00000000" w:usb3="00000000" w:csb0="0004009F" w:csb1="DFD70000"/>
    <w:embedRegular r:id="rId4" w:fontKey="{12B5DC71-0E95-444A-888A-05FD1325C44C}"/>
  </w:font>
  <w:font w:name="仿宋_GB2312">
    <w:panose1 w:val="02010609030101010101"/>
    <w:charset w:val="86"/>
    <w:family w:val="modern"/>
    <w:pitch w:val="default"/>
    <w:sig w:usb0="00000001" w:usb1="080E0000" w:usb2="00000000" w:usb3="00000000" w:csb0="00040000" w:csb1="00000000"/>
    <w:embedRegular r:id="rId5" w:fontKey="{63264DB1-B96E-4AFC-95FA-9C8C9D9C563D}"/>
  </w:font>
  <w:font w:name="楷体_GB2312">
    <w:altName w:val="楷体"/>
    <w:panose1 w:val="02010609030101010101"/>
    <w:charset w:val="86"/>
    <w:family w:val="modern"/>
    <w:pitch w:val="default"/>
    <w:sig w:usb0="00000000" w:usb1="00000000" w:usb2="00000000" w:usb3="00000000" w:csb0="00040000" w:csb1="00000000"/>
    <w:embedRegular r:id="rId6" w:fontKey="{69D9D41E-998A-4A8F-AFCB-EABB538C54CA}"/>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lMThmNjc2ODNlODFjM2Q5NGVhMjJjMjQ1MTlkMmQifQ=="/>
  </w:docVars>
  <w:rsids>
    <w:rsidRoot w:val="6FBF532C"/>
    <w:rsid w:val="6FBF5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2024-02-18T08:23:00Z</dcterms:created>
  <dc:creator>qzuser</dc:creator>
  <cp:lastModifiedBy>qzuser</cp:lastModifiedBy>
  <dcterms:modified xsi:type="dcterms:W3CDTF">2024-02-18T08:23:21Z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8005BB5E513D4E0881E1C623C86B73D5_11</vt:lpwstr>
  </property>
</Properties>
</file>