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ind w:left="0" w:leftChars="0" w:firstLine="0" w:firstLineChars="0"/>
        <w:jc w:val="center"/>
        <w:rPr>
          <w:rFonts w:hint="eastAsia" w:ascii="方正小标宋简体" w:hAnsi="方正小标宋简体" w:eastAsia="方正小标宋简体" w:cs="方正小标宋简体"/>
          <w:kern w:val="2"/>
          <w:sz w:val="32"/>
          <w:szCs w:val="32"/>
          <w:lang w:val="en-US" w:eastAsia="zh-CN" w:bidi="ar-SA"/>
        </w:rPr>
      </w:pPr>
      <w:r>
        <w:rPr>
          <w:rFonts w:hint="eastAsia" w:ascii="方正小标宋简体" w:hAnsi="方正小标宋简体" w:eastAsia="方正小标宋简体" w:cs="方正小标宋简体"/>
          <w:kern w:val="2"/>
          <w:sz w:val="32"/>
          <w:szCs w:val="32"/>
          <w:lang w:val="en-US" w:eastAsia="zh-CN" w:bidi="ar-SA"/>
        </w:rPr>
        <w:t>2021年中国农垦经济研究会年会征文获奖名单</w:t>
      </w:r>
    </w:p>
    <w:p>
      <w:pPr>
        <w:spacing w:line="560" w:lineRule="exact"/>
        <w:ind w:firstLine="560" w:firstLineChars="200"/>
        <w:rPr>
          <w:rFonts w:hint="eastAsia" w:ascii="仿宋_GB2312" w:hAnsi="仿宋_GB2312" w:eastAsia="仿宋_GB2312" w:cs="仿宋_GB2312"/>
          <w:i w:val="0"/>
          <w:caps w:val="0"/>
          <w:color w:val="424141"/>
          <w:spacing w:val="0"/>
          <w:sz w:val="28"/>
          <w:szCs w:val="28"/>
          <w:shd w:val="clear" w:fill="FFFFFF"/>
        </w:rPr>
      </w:pPr>
    </w:p>
    <w:tbl>
      <w:tblPr>
        <w:tblStyle w:val="4"/>
        <w:tblW w:w="5160" w:type="pct"/>
        <w:tblInd w:w="0" w:type="dxa"/>
        <w:shd w:val="clear" w:color="auto" w:fill="auto"/>
        <w:tblLayout w:type="autofit"/>
        <w:tblCellMar>
          <w:top w:w="0" w:type="dxa"/>
          <w:left w:w="0" w:type="dxa"/>
          <w:bottom w:w="0" w:type="dxa"/>
          <w:right w:w="0" w:type="dxa"/>
        </w:tblCellMar>
      </w:tblPr>
      <w:tblGrid>
        <w:gridCol w:w="1460"/>
        <w:gridCol w:w="3782"/>
        <w:gridCol w:w="1154"/>
        <w:gridCol w:w="2201"/>
      </w:tblGrid>
      <w:tr>
        <w:tblPrEx>
          <w:shd w:val="clear" w:color="auto" w:fill="auto"/>
          <w:tblCellMar>
            <w:top w:w="0" w:type="dxa"/>
            <w:left w:w="0" w:type="dxa"/>
            <w:bottom w:w="0" w:type="dxa"/>
            <w:right w:w="0" w:type="dxa"/>
          </w:tblCellMar>
        </w:tblPrEx>
        <w:trPr>
          <w:trHeight w:val="334" w:hRule="atLeast"/>
        </w:trPr>
        <w:tc>
          <w:tcPr>
            <w:tcW w:w="84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b/>
                <w:i w:val="0"/>
                <w:color w:val="000000"/>
                <w:kern w:val="2"/>
                <w:sz w:val="24"/>
                <w:szCs w:val="24"/>
                <w:u w:val="none"/>
                <w:lang w:val="en-US" w:eastAsia="zh-CN" w:bidi="ar-SA"/>
              </w:rPr>
            </w:pPr>
            <w:r>
              <w:rPr>
                <w:rFonts w:hint="eastAsia" w:ascii="楷体_GB2312" w:hAnsi="楷体_GB2312" w:eastAsia="楷体_GB2312" w:cs="楷体_GB2312"/>
                <w:b/>
                <w:i w:val="0"/>
                <w:color w:val="000000"/>
                <w:kern w:val="0"/>
                <w:sz w:val="24"/>
                <w:szCs w:val="24"/>
                <w:u w:val="none"/>
                <w:lang w:val="en-US" w:eastAsia="zh-CN" w:bidi="ar"/>
              </w:rPr>
              <w:t>奖次</w:t>
            </w: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b/>
                <w:i w:val="0"/>
                <w:color w:val="000000"/>
                <w:sz w:val="24"/>
                <w:szCs w:val="24"/>
                <w:u w:val="none"/>
              </w:rPr>
            </w:pPr>
            <w:r>
              <w:rPr>
                <w:rFonts w:hint="eastAsia" w:ascii="楷体_GB2312" w:hAnsi="楷体_GB2312" w:eastAsia="楷体_GB2312" w:cs="楷体_GB2312"/>
                <w:b/>
                <w:i w:val="0"/>
                <w:color w:val="000000"/>
                <w:kern w:val="0"/>
                <w:sz w:val="24"/>
                <w:szCs w:val="24"/>
                <w:u w:val="none"/>
                <w:lang w:val="en-US" w:eastAsia="zh-CN" w:bidi="ar"/>
              </w:rPr>
              <w:t>文章题目</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b/>
                <w:i w:val="0"/>
                <w:color w:val="000000"/>
                <w:sz w:val="24"/>
                <w:szCs w:val="24"/>
                <w:u w:val="none"/>
              </w:rPr>
            </w:pPr>
            <w:r>
              <w:rPr>
                <w:rFonts w:hint="eastAsia" w:ascii="楷体_GB2312" w:hAnsi="楷体_GB2312" w:eastAsia="楷体_GB2312" w:cs="楷体_GB2312"/>
                <w:b/>
                <w:i w:val="0"/>
                <w:color w:val="000000"/>
                <w:kern w:val="0"/>
                <w:sz w:val="24"/>
                <w:szCs w:val="24"/>
                <w:u w:val="none"/>
                <w:lang w:val="en-US" w:eastAsia="zh-CN" w:bidi="ar"/>
              </w:rPr>
              <w:t>作者</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b/>
                <w:i w:val="0"/>
                <w:color w:val="000000"/>
                <w:sz w:val="24"/>
                <w:szCs w:val="24"/>
                <w:u w:val="none"/>
              </w:rPr>
            </w:pPr>
            <w:r>
              <w:rPr>
                <w:rFonts w:hint="eastAsia" w:ascii="楷体_GB2312" w:hAnsi="楷体_GB2312" w:eastAsia="楷体_GB2312" w:cs="楷体_GB2312"/>
                <w:b/>
                <w:i w:val="0"/>
                <w:color w:val="000000"/>
                <w:kern w:val="0"/>
                <w:sz w:val="24"/>
                <w:szCs w:val="24"/>
                <w:u w:val="none"/>
                <w:lang w:val="en-US" w:eastAsia="zh-CN" w:bidi="ar"/>
              </w:rPr>
              <w:t>作者单位</w:t>
            </w:r>
          </w:p>
        </w:tc>
      </w:tr>
      <w:tr>
        <w:tblPrEx>
          <w:shd w:val="clear" w:color="auto" w:fill="auto"/>
          <w:tblCellMar>
            <w:top w:w="0" w:type="dxa"/>
            <w:left w:w="0" w:type="dxa"/>
            <w:bottom w:w="0" w:type="dxa"/>
            <w:right w:w="0" w:type="dxa"/>
          </w:tblCellMar>
        </w:tblPrEx>
        <w:trPr>
          <w:trHeight w:val="957" w:hRule="atLeast"/>
        </w:trPr>
        <w:tc>
          <w:tcPr>
            <w:tcW w:w="849" w:type="pct"/>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0"/>
                <w:sz w:val="22"/>
                <w:szCs w:val="22"/>
                <w:u w:val="none"/>
                <w:lang w:val="en-US" w:eastAsia="zh-CN" w:bidi="ar"/>
              </w:rPr>
            </w:pPr>
            <w:r>
              <w:rPr>
                <w:rFonts w:hint="eastAsia" w:ascii="楷体_GB2312" w:hAnsi="楷体_GB2312" w:eastAsia="楷体_GB2312" w:cs="楷体_GB2312"/>
                <w:i w:val="0"/>
                <w:color w:val="000000"/>
                <w:kern w:val="0"/>
                <w:sz w:val="22"/>
                <w:szCs w:val="22"/>
                <w:u w:val="none"/>
                <w:lang w:val="en-US" w:eastAsia="zh-CN" w:bidi="ar"/>
              </w:rPr>
              <w:t>一等奖</w:t>
            </w:r>
          </w:p>
          <w:p>
            <w:pPr>
              <w:keepNext w:val="0"/>
              <w:keepLines w:val="0"/>
              <w:widowControl/>
              <w:suppressLineNumbers w:val="0"/>
              <w:jc w:val="center"/>
              <w:textAlignment w:val="center"/>
              <w:rPr>
                <w:rFonts w:hint="default" w:ascii="楷体_GB2312" w:hAnsi="楷体_GB2312" w:eastAsia="楷体_GB2312" w:cs="楷体_GB2312"/>
                <w:i w:val="0"/>
                <w:color w:val="000000"/>
                <w:kern w:val="0"/>
                <w:sz w:val="22"/>
                <w:szCs w:val="22"/>
                <w:u w:val="none"/>
                <w:lang w:val="en-US" w:eastAsia="zh-CN" w:bidi="ar"/>
              </w:rPr>
            </w:pPr>
            <w:r>
              <w:rPr>
                <w:rFonts w:hint="eastAsia" w:ascii="楷体_GB2312" w:hAnsi="楷体_GB2312" w:eastAsia="楷体_GB2312" w:cs="楷体_GB2312"/>
                <w:i w:val="0"/>
                <w:color w:val="000000"/>
                <w:kern w:val="0"/>
                <w:sz w:val="22"/>
                <w:szCs w:val="22"/>
                <w:u w:val="none"/>
                <w:lang w:val="en-US" w:eastAsia="zh-CN" w:bidi="ar"/>
              </w:rPr>
              <w:t>（2篇）</w:t>
            </w: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中国共产党屯垦戍边理论的形成与发展</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王小平</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中共新疆生产建设兵团委员会党校</w:t>
            </w:r>
          </w:p>
        </w:tc>
      </w:tr>
      <w:tr>
        <w:tblPrEx>
          <w:shd w:val="clear" w:color="auto" w:fill="auto"/>
          <w:tblCellMar>
            <w:top w:w="0" w:type="dxa"/>
            <w:left w:w="0" w:type="dxa"/>
            <w:bottom w:w="0" w:type="dxa"/>
            <w:right w:w="0" w:type="dxa"/>
          </w:tblCellMar>
        </w:tblPrEx>
        <w:trPr>
          <w:trHeight w:val="646" w:hRule="atLeast"/>
        </w:trPr>
        <w:tc>
          <w:tcPr>
            <w:tcW w:w="849" w:type="pct"/>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试论南泥湾精神在新时代推动广东农垦高质量发展实践中的传承与发展</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谭枫凡</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广东省农垦集团公司</w:t>
            </w:r>
          </w:p>
        </w:tc>
      </w:tr>
      <w:tr>
        <w:tblPrEx>
          <w:shd w:val="clear" w:color="auto" w:fill="auto"/>
          <w:tblCellMar>
            <w:top w:w="0" w:type="dxa"/>
            <w:left w:w="0" w:type="dxa"/>
            <w:bottom w:w="0" w:type="dxa"/>
            <w:right w:w="0" w:type="dxa"/>
          </w:tblCellMar>
        </w:tblPrEx>
        <w:trPr>
          <w:trHeight w:val="843" w:hRule="atLeast"/>
        </w:trPr>
        <w:tc>
          <w:tcPr>
            <w:tcW w:w="849" w:type="pct"/>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0"/>
                <w:sz w:val="22"/>
                <w:szCs w:val="22"/>
                <w:u w:val="none"/>
                <w:lang w:val="en-US" w:eastAsia="zh-CN" w:bidi="ar"/>
              </w:rPr>
            </w:pPr>
            <w:r>
              <w:rPr>
                <w:rFonts w:hint="eastAsia" w:ascii="楷体_GB2312" w:hAnsi="楷体_GB2312" w:eastAsia="楷体_GB2312" w:cs="楷体_GB2312"/>
                <w:i w:val="0"/>
                <w:color w:val="000000"/>
                <w:kern w:val="0"/>
                <w:sz w:val="22"/>
                <w:szCs w:val="22"/>
                <w:u w:val="none"/>
                <w:lang w:val="en-US" w:eastAsia="zh-CN" w:bidi="ar"/>
              </w:rPr>
              <w:t>二等奖</w:t>
            </w:r>
          </w:p>
          <w:p>
            <w:pPr>
              <w:keepNext w:val="0"/>
              <w:keepLines w:val="0"/>
              <w:widowControl/>
              <w:suppressLineNumbers w:val="0"/>
              <w:jc w:val="center"/>
              <w:textAlignment w:val="center"/>
              <w:rPr>
                <w:rFonts w:hint="default" w:ascii="楷体_GB2312" w:hAnsi="楷体_GB2312" w:eastAsia="楷体_GB2312" w:cs="楷体_GB2312"/>
                <w:i w:val="0"/>
                <w:color w:val="000000"/>
                <w:kern w:val="0"/>
                <w:sz w:val="22"/>
                <w:szCs w:val="22"/>
                <w:u w:val="none"/>
                <w:lang w:val="en-US" w:eastAsia="zh-CN" w:bidi="ar"/>
              </w:rPr>
            </w:pPr>
            <w:r>
              <w:rPr>
                <w:rFonts w:hint="eastAsia" w:ascii="楷体_GB2312" w:hAnsi="楷体_GB2312" w:eastAsia="楷体_GB2312" w:cs="楷体_GB2312"/>
                <w:i w:val="0"/>
                <w:color w:val="000000"/>
                <w:kern w:val="0"/>
                <w:sz w:val="22"/>
                <w:szCs w:val="22"/>
                <w:u w:val="none"/>
                <w:lang w:val="en-US" w:eastAsia="zh-CN" w:bidi="ar"/>
              </w:rPr>
              <w:t>（5篇）</w:t>
            </w: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中国共产党领导屯垦戍边的光辉历程及宝贵经验</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罗利华、王玉柳</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中共新疆生产建设兵团委员会党校</w:t>
            </w:r>
          </w:p>
        </w:tc>
      </w:tr>
      <w:tr>
        <w:tblPrEx>
          <w:shd w:val="clear" w:color="auto" w:fill="auto"/>
          <w:tblCellMar>
            <w:top w:w="0" w:type="dxa"/>
            <w:left w:w="0" w:type="dxa"/>
            <w:bottom w:w="0" w:type="dxa"/>
            <w:right w:w="0" w:type="dxa"/>
          </w:tblCellMar>
        </w:tblPrEx>
        <w:trPr>
          <w:trHeight w:val="1030" w:hRule="atLeast"/>
        </w:trPr>
        <w:tc>
          <w:tcPr>
            <w:tcW w:w="849"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 xml:space="preserve">新时代背景下传承南泥湾精神 </w:t>
            </w:r>
            <w:r>
              <w:rPr>
                <w:rFonts w:hint="eastAsia" w:ascii="楷体_GB2312" w:hAnsi="楷体_GB2312" w:eastAsia="楷体_GB2312" w:cs="楷体_GB2312"/>
                <w:i w:val="0"/>
                <w:color w:val="000000"/>
                <w:kern w:val="0"/>
                <w:sz w:val="22"/>
                <w:szCs w:val="22"/>
                <w:u w:val="none"/>
                <w:lang w:val="en-US" w:eastAsia="zh-CN" w:bidi="ar"/>
              </w:rPr>
              <w:br w:type="textWrapping"/>
            </w:r>
            <w:r>
              <w:rPr>
                <w:rFonts w:hint="eastAsia" w:ascii="楷体_GB2312" w:hAnsi="楷体_GB2312" w:eastAsia="楷体_GB2312" w:cs="楷体_GB2312"/>
                <w:i w:val="0"/>
                <w:color w:val="000000"/>
                <w:kern w:val="0"/>
                <w:sz w:val="22"/>
                <w:szCs w:val="22"/>
                <w:u w:val="none"/>
                <w:lang w:val="en-US" w:eastAsia="zh-CN" w:bidi="ar"/>
              </w:rPr>
              <w:t>续写北大荒国企改革发展新篇章</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熊然、代琳、吕维明</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黑龙江省农垦经济研究所、黑龙江农垦管理干部学院</w:t>
            </w:r>
          </w:p>
        </w:tc>
      </w:tr>
      <w:tr>
        <w:tblPrEx>
          <w:tblCellMar>
            <w:top w:w="0" w:type="dxa"/>
            <w:left w:w="0" w:type="dxa"/>
            <w:bottom w:w="0" w:type="dxa"/>
            <w:right w:w="0" w:type="dxa"/>
          </w:tblCellMar>
        </w:tblPrEx>
        <w:trPr>
          <w:trHeight w:val="646" w:hRule="atLeast"/>
        </w:trPr>
        <w:tc>
          <w:tcPr>
            <w:tcW w:w="849"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“大历史观”下农垦精神的传承与弘扬</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郭思宝</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北大荒农垦集团有限公司</w:t>
            </w:r>
          </w:p>
        </w:tc>
      </w:tr>
      <w:tr>
        <w:tblPrEx>
          <w:shd w:val="clear" w:color="auto" w:fill="auto"/>
          <w:tblCellMar>
            <w:top w:w="0" w:type="dxa"/>
            <w:left w:w="0" w:type="dxa"/>
            <w:bottom w:w="0" w:type="dxa"/>
            <w:right w:w="0" w:type="dxa"/>
          </w:tblCellMar>
        </w:tblPrEx>
        <w:trPr>
          <w:trHeight w:val="646" w:hRule="atLeast"/>
        </w:trPr>
        <w:tc>
          <w:tcPr>
            <w:tcW w:w="849"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传承南泥湾精神 书写新时代辉煌</w:t>
            </w:r>
            <w:r>
              <w:rPr>
                <w:rFonts w:hint="eastAsia" w:ascii="楷体_GB2312" w:hAnsi="楷体_GB2312" w:eastAsia="楷体_GB2312" w:cs="楷体_GB2312"/>
                <w:i w:val="0"/>
                <w:color w:val="000000"/>
                <w:kern w:val="0"/>
                <w:sz w:val="22"/>
                <w:szCs w:val="22"/>
                <w:u w:val="none"/>
                <w:lang w:val="en-US" w:eastAsia="zh-CN" w:bidi="ar"/>
              </w:rPr>
              <w:br w:type="textWrapping"/>
            </w:r>
            <w:r>
              <w:rPr>
                <w:rFonts w:hint="eastAsia" w:ascii="楷体_GB2312" w:hAnsi="楷体_GB2312" w:eastAsia="楷体_GB2312" w:cs="楷体_GB2312"/>
                <w:i w:val="0"/>
                <w:color w:val="000000"/>
                <w:kern w:val="0"/>
                <w:sz w:val="22"/>
                <w:szCs w:val="22"/>
                <w:u w:val="none"/>
                <w:lang w:val="en-US" w:eastAsia="zh-CN" w:bidi="ar"/>
              </w:rPr>
              <w:t>打造具有国际竞争力的现代食品集团</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首农集体</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北京首农食品集团有限公司</w:t>
            </w:r>
          </w:p>
        </w:tc>
      </w:tr>
      <w:tr>
        <w:tblPrEx>
          <w:shd w:val="clear" w:color="auto" w:fill="auto"/>
          <w:tblCellMar>
            <w:top w:w="0" w:type="dxa"/>
            <w:left w:w="0" w:type="dxa"/>
            <w:bottom w:w="0" w:type="dxa"/>
            <w:right w:w="0" w:type="dxa"/>
          </w:tblCellMar>
        </w:tblPrEx>
        <w:trPr>
          <w:trHeight w:val="646" w:hRule="atLeast"/>
        </w:trPr>
        <w:tc>
          <w:tcPr>
            <w:tcW w:w="849" w:type="pct"/>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深入传承南泥湾精神，加快推进广西农垦高质量发展</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李贵银</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广西农垦集团</w:t>
            </w:r>
          </w:p>
        </w:tc>
      </w:tr>
      <w:tr>
        <w:tblPrEx>
          <w:shd w:val="clear" w:color="auto" w:fill="auto"/>
          <w:tblCellMar>
            <w:top w:w="0" w:type="dxa"/>
            <w:left w:w="0" w:type="dxa"/>
            <w:bottom w:w="0" w:type="dxa"/>
            <w:right w:w="0" w:type="dxa"/>
          </w:tblCellMar>
        </w:tblPrEx>
        <w:trPr>
          <w:trHeight w:val="646" w:hRule="atLeast"/>
        </w:trPr>
        <w:tc>
          <w:tcPr>
            <w:tcW w:w="849" w:type="pct"/>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0"/>
                <w:sz w:val="22"/>
                <w:szCs w:val="22"/>
                <w:u w:val="none"/>
                <w:lang w:val="en-US" w:eastAsia="zh-CN" w:bidi="ar"/>
              </w:rPr>
            </w:pPr>
            <w:r>
              <w:rPr>
                <w:rFonts w:hint="eastAsia" w:ascii="楷体_GB2312" w:hAnsi="楷体_GB2312" w:eastAsia="楷体_GB2312" w:cs="楷体_GB2312"/>
                <w:i w:val="0"/>
                <w:color w:val="000000"/>
                <w:kern w:val="0"/>
                <w:sz w:val="22"/>
                <w:szCs w:val="22"/>
                <w:u w:val="none"/>
                <w:lang w:val="en-US" w:eastAsia="zh-CN" w:bidi="ar"/>
              </w:rPr>
              <w:t>三等奖</w:t>
            </w:r>
          </w:p>
          <w:p>
            <w:pPr>
              <w:keepNext w:val="0"/>
              <w:keepLines w:val="0"/>
              <w:widowControl/>
              <w:suppressLineNumbers w:val="0"/>
              <w:jc w:val="center"/>
              <w:textAlignment w:val="center"/>
              <w:rPr>
                <w:rFonts w:hint="default" w:ascii="楷体_GB2312" w:hAnsi="楷体_GB2312" w:eastAsia="楷体_GB2312" w:cs="楷体_GB2312"/>
                <w:i w:val="0"/>
                <w:color w:val="000000"/>
                <w:kern w:val="0"/>
                <w:sz w:val="22"/>
                <w:szCs w:val="22"/>
                <w:u w:val="none"/>
                <w:lang w:val="en-US" w:eastAsia="zh-CN" w:bidi="ar"/>
              </w:rPr>
            </w:pPr>
            <w:r>
              <w:rPr>
                <w:rFonts w:hint="eastAsia" w:ascii="楷体_GB2312" w:hAnsi="楷体_GB2312" w:eastAsia="楷体_GB2312" w:cs="楷体_GB2312"/>
                <w:i w:val="0"/>
                <w:color w:val="000000"/>
                <w:kern w:val="0"/>
                <w:sz w:val="22"/>
                <w:szCs w:val="22"/>
                <w:u w:val="none"/>
                <w:lang w:val="en-US" w:eastAsia="zh-CN" w:bidi="ar"/>
              </w:rPr>
              <w:t>（9篇）</w:t>
            </w: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浅谈南泥湾精神对农垦系统参与乡村振兴的指导意义</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龚冶</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重庆农投物流发展有限公司</w:t>
            </w:r>
          </w:p>
        </w:tc>
      </w:tr>
      <w:tr>
        <w:tblPrEx>
          <w:shd w:val="clear" w:color="auto" w:fill="auto"/>
          <w:tblCellMar>
            <w:top w:w="0" w:type="dxa"/>
            <w:left w:w="0" w:type="dxa"/>
            <w:bottom w:w="0" w:type="dxa"/>
            <w:right w:w="0" w:type="dxa"/>
          </w:tblCellMar>
        </w:tblPrEx>
        <w:trPr>
          <w:trHeight w:val="646" w:hRule="atLeast"/>
        </w:trPr>
        <w:tc>
          <w:tcPr>
            <w:tcW w:w="849"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从南泥湾走出来的中国农垦</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刘凯</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天津市利民调料有限公司</w:t>
            </w:r>
          </w:p>
        </w:tc>
      </w:tr>
      <w:tr>
        <w:tblPrEx>
          <w:shd w:val="clear" w:color="auto" w:fill="auto"/>
          <w:tblCellMar>
            <w:top w:w="0" w:type="dxa"/>
            <w:left w:w="0" w:type="dxa"/>
            <w:bottom w:w="0" w:type="dxa"/>
            <w:right w:w="0" w:type="dxa"/>
          </w:tblCellMar>
        </w:tblPrEx>
        <w:trPr>
          <w:trHeight w:val="789" w:hRule="atLeast"/>
        </w:trPr>
        <w:tc>
          <w:tcPr>
            <w:tcW w:w="849"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传承红色基因  实现农垦高质量发展</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王洪、杨登宏</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安徽省农垦集团有限公司</w:t>
            </w:r>
          </w:p>
        </w:tc>
      </w:tr>
      <w:tr>
        <w:tblPrEx>
          <w:tblCellMar>
            <w:top w:w="0" w:type="dxa"/>
            <w:left w:w="0" w:type="dxa"/>
            <w:bottom w:w="0" w:type="dxa"/>
            <w:right w:w="0" w:type="dxa"/>
          </w:tblCellMar>
        </w:tblPrEx>
        <w:trPr>
          <w:trHeight w:val="646" w:hRule="atLeast"/>
        </w:trPr>
        <w:tc>
          <w:tcPr>
            <w:tcW w:w="849"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农垦人——“三牛精神”的忠实践履者</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高耀志</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广东农工商职业技术学院</w:t>
            </w:r>
          </w:p>
        </w:tc>
      </w:tr>
      <w:tr>
        <w:tblPrEx>
          <w:shd w:val="clear" w:color="auto" w:fill="auto"/>
          <w:tblCellMar>
            <w:top w:w="0" w:type="dxa"/>
            <w:left w:w="0" w:type="dxa"/>
            <w:bottom w:w="0" w:type="dxa"/>
            <w:right w:w="0" w:type="dxa"/>
          </w:tblCellMar>
        </w:tblPrEx>
        <w:trPr>
          <w:trHeight w:val="646" w:hRule="atLeast"/>
        </w:trPr>
        <w:tc>
          <w:tcPr>
            <w:tcW w:w="849"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黄泛区农垦事业的辉煌成就、经验启示及发展方向</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翟国胜</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河南省西华县黄泛区农场</w:t>
            </w:r>
          </w:p>
        </w:tc>
      </w:tr>
      <w:tr>
        <w:tblPrEx>
          <w:tblCellMar>
            <w:top w:w="0" w:type="dxa"/>
            <w:left w:w="0" w:type="dxa"/>
            <w:bottom w:w="0" w:type="dxa"/>
            <w:right w:w="0" w:type="dxa"/>
          </w:tblCellMar>
        </w:tblPrEx>
        <w:trPr>
          <w:trHeight w:val="646" w:hRule="atLeast"/>
        </w:trPr>
        <w:tc>
          <w:tcPr>
            <w:tcW w:w="849"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弘扬北大荒精神 助力黑龙江垦区高质量发展</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陈志新</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黑龙江农垦管理干部学院</w:t>
            </w:r>
          </w:p>
        </w:tc>
      </w:tr>
      <w:tr>
        <w:tblPrEx>
          <w:tblCellMar>
            <w:top w:w="0" w:type="dxa"/>
            <w:left w:w="0" w:type="dxa"/>
            <w:bottom w:w="0" w:type="dxa"/>
            <w:right w:w="0" w:type="dxa"/>
          </w:tblCellMar>
        </w:tblPrEx>
        <w:trPr>
          <w:trHeight w:val="646" w:hRule="atLeast"/>
        </w:trPr>
        <w:tc>
          <w:tcPr>
            <w:tcW w:w="849"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当代农垦事业红色基因一脉相承之浅析</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明经结</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江西省乡村振兴发展中心</w:t>
            </w:r>
          </w:p>
        </w:tc>
      </w:tr>
      <w:tr>
        <w:tblPrEx>
          <w:tblCellMar>
            <w:top w:w="0" w:type="dxa"/>
            <w:left w:w="0" w:type="dxa"/>
            <w:bottom w:w="0" w:type="dxa"/>
            <w:right w:w="0" w:type="dxa"/>
          </w:tblCellMar>
        </w:tblPrEx>
        <w:trPr>
          <w:trHeight w:val="646" w:hRule="atLeast"/>
        </w:trPr>
        <w:tc>
          <w:tcPr>
            <w:tcW w:w="849"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牢牢把握新发展理念高质量推进十四五规划实施</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邵黎明</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光明食品（集团）有限公司</w:t>
            </w:r>
          </w:p>
        </w:tc>
      </w:tr>
      <w:tr>
        <w:tblPrEx>
          <w:shd w:val="clear" w:color="auto" w:fill="auto"/>
          <w:tblCellMar>
            <w:top w:w="0" w:type="dxa"/>
            <w:left w:w="0" w:type="dxa"/>
            <w:bottom w:w="0" w:type="dxa"/>
            <w:right w:w="0" w:type="dxa"/>
          </w:tblCellMar>
        </w:tblPrEx>
        <w:trPr>
          <w:trHeight w:val="751" w:hRule="atLeast"/>
        </w:trPr>
        <w:tc>
          <w:tcPr>
            <w:tcW w:w="849" w:type="pct"/>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加强创新激励打造广州菜篮子支撑双区建设</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程敏</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广州越秀风行食品集团有限公司</w:t>
            </w:r>
          </w:p>
        </w:tc>
      </w:tr>
      <w:tr>
        <w:tblPrEx>
          <w:shd w:val="clear" w:color="auto" w:fill="auto"/>
          <w:tblCellMar>
            <w:top w:w="0" w:type="dxa"/>
            <w:left w:w="0" w:type="dxa"/>
            <w:bottom w:w="0" w:type="dxa"/>
            <w:right w:w="0" w:type="dxa"/>
          </w:tblCellMar>
        </w:tblPrEx>
        <w:trPr>
          <w:trHeight w:val="646" w:hRule="atLeast"/>
        </w:trPr>
        <w:tc>
          <w:tcPr>
            <w:tcW w:w="849" w:type="pct"/>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0"/>
                <w:sz w:val="22"/>
                <w:szCs w:val="22"/>
                <w:u w:val="none"/>
                <w:lang w:val="en-US" w:eastAsia="zh-CN" w:bidi="ar"/>
              </w:rPr>
            </w:pPr>
            <w:r>
              <w:rPr>
                <w:rFonts w:hint="eastAsia" w:ascii="楷体_GB2312" w:hAnsi="楷体_GB2312" w:eastAsia="楷体_GB2312" w:cs="楷体_GB2312"/>
                <w:i w:val="0"/>
                <w:color w:val="000000"/>
                <w:kern w:val="0"/>
                <w:sz w:val="22"/>
                <w:szCs w:val="22"/>
                <w:u w:val="none"/>
                <w:lang w:val="en-US" w:eastAsia="zh-CN" w:bidi="ar"/>
              </w:rPr>
              <w:t>优秀奖</w:t>
            </w:r>
          </w:p>
          <w:p>
            <w:pPr>
              <w:keepNext w:val="0"/>
              <w:keepLines w:val="0"/>
              <w:widowControl/>
              <w:suppressLineNumbers w:val="0"/>
              <w:jc w:val="center"/>
              <w:textAlignment w:val="center"/>
              <w:rPr>
                <w:rFonts w:hint="default" w:ascii="楷体_GB2312" w:hAnsi="楷体_GB2312" w:eastAsia="楷体_GB2312" w:cs="楷体_GB2312"/>
                <w:i w:val="0"/>
                <w:color w:val="000000"/>
                <w:kern w:val="0"/>
                <w:sz w:val="22"/>
                <w:szCs w:val="22"/>
                <w:u w:val="none"/>
                <w:lang w:val="en-US" w:eastAsia="zh-CN" w:bidi="ar"/>
              </w:rPr>
            </w:pPr>
            <w:r>
              <w:rPr>
                <w:rFonts w:hint="eastAsia" w:ascii="楷体_GB2312" w:hAnsi="楷体_GB2312" w:eastAsia="楷体_GB2312" w:cs="楷体_GB2312"/>
                <w:i w:val="0"/>
                <w:color w:val="000000"/>
                <w:kern w:val="0"/>
                <w:sz w:val="22"/>
                <w:szCs w:val="22"/>
                <w:u w:val="none"/>
                <w:lang w:val="en-US" w:eastAsia="zh-CN" w:bidi="ar"/>
              </w:rPr>
              <w:t>（12篇）</w:t>
            </w: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论农垦人对勇于开拓精神的诠释与践履</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高耀志</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广东农工商职业技术学院</w:t>
            </w:r>
          </w:p>
        </w:tc>
      </w:tr>
      <w:tr>
        <w:tblPrEx>
          <w:shd w:val="clear" w:color="auto" w:fill="auto"/>
          <w:tblCellMar>
            <w:top w:w="0" w:type="dxa"/>
            <w:left w:w="0" w:type="dxa"/>
            <w:bottom w:w="0" w:type="dxa"/>
            <w:right w:w="0" w:type="dxa"/>
          </w:tblCellMar>
        </w:tblPrEx>
        <w:trPr>
          <w:trHeight w:val="646" w:hRule="atLeast"/>
        </w:trPr>
        <w:tc>
          <w:tcPr>
            <w:tcW w:w="849"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传承农垦精神与创新思维，实现跨越发展</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赵媛媛</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广东农工商职业技术学院</w:t>
            </w:r>
          </w:p>
        </w:tc>
      </w:tr>
      <w:tr>
        <w:tblPrEx>
          <w:shd w:val="clear" w:color="auto" w:fill="auto"/>
          <w:tblCellMar>
            <w:top w:w="0" w:type="dxa"/>
            <w:left w:w="0" w:type="dxa"/>
            <w:bottom w:w="0" w:type="dxa"/>
            <w:right w:w="0" w:type="dxa"/>
          </w:tblCellMar>
        </w:tblPrEx>
        <w:trPr>
          <w:trHeight w:val="957" w:hRule="atLeast"/>
        </w:trPr>
        <w:tc>
          <w:tcPr>
            <w:tcW w:w="849"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弘扬北大荒精神  赋予新时代内涵 确保习近平总书记讲话精神在三江平原落地生根</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张海波</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北大荒农垦集团有限公司建三江分公司</w:t>
            </w:r>
          </w:p>
        </w:tc>
      </w:tr>
      <w:tr>
        <w:tblPrEx>
          <w:shd w:val="clear" w:color="auto" w:fill="auto"/>
          <w:tblCellMar>
            <w:top w:w="0" w:type="dxa"/>
            <w:left w:w="0" w:type="dxa"/>
            <w:bottom w:w="0" w:type="dxa"/>
            <w:right w:w="0" w:type="dxa"/>
          </w:tblCellMar>
        </w:tblPrEx>
        <w:trPr>
          <w:trHeight w:val="974" w:hRule="atLeast"/>
        </w:trPr>
        <w:tc>
          <w:tcPr>
            <w:tcW w:w="849"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兵团“文化润疆”的历史实践与经验启示</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张全峰、白关峰</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中共新疆生产建设兵团委员会党校</w:t>
            </w:r>
          </w:p>
        </w:tc>
      </w:tr>
      <w:tr>
        <w:tblPrEx>
          <w:shd w:val="clear" w:color="auto" w:fill="auto"/>
          <w:tblCellMar>
            <w:top w:w="0" w:type="dxa"/>
            <w:left w:w="0" w:type="dxa"/>
            <w:bottom w:w="0" w:type="dxa"/>
            <w:right w:w="0" w:type="dxa"/>
          </w:tblCellMar>
        </w:tblPrEx>
        <w:trPr>
          <w:trHeight w:val="957" w:hRule="atLeast"/>
        </w:trPr>
        <w:tc>
          <w:tcPr>
            <w:tcW w:w="849"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“三牛精神”犁画“东辛大地”——江苏农垦东辛农场传承红色基因建设美丽农场</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冯宝东</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江苏省东辛农场有限公司</w:t>
            </w:r>
          </w:p>
        </w:tc>
      </w:tr>
      <w:tr>
        <w:tblPrEx>
          <w:shd w:val="clear" w:color="auto" w:fill="auto"/>
          <w:tblCellMar>
            <w:top w:w="0" w:type="dxa"/>
            <w:left w:w="0" w:type="dxa"/>
            <w:bottom w:w="0" w:type="dxa"/>
            <w:right w:w="0" w:type="dxa"/>
          </w:tblCellMar>
        </w:tblPrEx>
        <w:trPr>
          <w:trHeight w:val="602" w:hRule="atLeast"/>
        </w:trPr>
        <w:tc>
          <w:tcPr>
            <w:tcW w:w="849"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中国农垦的“亮剑精神”</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马晨雨</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中国农垦经济发展中心</w:t>
            </w:r>
          </w:p>
        </w:tc>
      </w:tr>
      <w:tr>
        <w:tblPrEx>
          <w:shd w:val="clear" w:color="auto" w:fill="auto"/>
          <w:tblCellMar>
            <w:top w:w="0" w:type="dxa"/>
            <w:left w:w="0" w:type="dxa"/>
            <w:bottom w:w="0" w:type="dxa"/>
            <w:right w:w="0" w:type="dxa"/>
          </w:tblCellMar>
        </w:tblPrEx>
        <w:trPr>
          <w:trHeight w:val="957" w:hRule="atLeast"/>
        </w:trPr>
        <w:tc>
          <w:tcPr>
            <w:tcW w:w="849"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兵团铸牢新疆各民族中华民族共同体意识的成功经验与时代贡献研究</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朱思聪</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中共新疆生产建设兵团委员会党校</w:t>
            </w:r>
          </w:p>
        </w:tc>
      </w:tr>
      <w:tr>
        <w:tblPrEx>
          <w:shd w:val="clear" w:color="auto" w:fill="auto"/>
          <w:tblCellMar>
            <w:top w:w="0" w:type="dxa"/>
            <w:left w:w="0" w:type="dxa"/>
            <w:bottom w:w="0" w:type="dxa"/>
            <w:right w:w="0" w:type="dxa"/>
          </w:tblCellMar>
        </w:tblPrEx>
        <w:trPr>
          <w:trHeight w:val="646" w:hRule="atLeast"/>
        </w:trPr>
        <w:tc>
          <w:tcPr>
            <w:tcW w:w="849"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在红色文化中汲取力量，在时代浪潮中立起榜样</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何书杰</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广东农工商职业技术学院</w:t>
            </w:r>
          </w:p>
        </w:tc>
      </w:tr>
      <w:tr>
        <w:tblPrEx>
          <w:shd w:val="clear" w:color="auto" w:fill="auto"/>
          <w:tblCellMar>
            <w:top w:w="0" w:type="dxa"/>
            <w:left w:w="0" w:type="dxa"/>
            <w:bottom w:w="0" w:type="dxa"/>
            <w:right w:w="0" w:type="dxa"/>
          </w:tblCellMar>
        </w:tblPrEx>
        <w:trPr>
          <w:trHeight w:val="957" w:hRule="atLeast"/>
        </w:trPr>
        <w:tc>
          <w:tcPr>
            <w:tcW w:w="849"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艰苦奋斗，追忆南泥湾精神</w:t>
            </w:r>
            <w:r>
              <w:rPr>
                <w:rFonts w:hint="eastAsia" w:ascii="楷体_GB2312" w:hAnsi="楷体_GB2312" w:eastAsia="楷体_GB2312" w:cs="楷体_GB2312"/>
                <w:i w:val="0"/>
                <w:color w:val="000000"/>
                <w:kern w:val="0"/>
                <w:sz w:val="22"/>
                <w:szCs w:val="22"/>
                <w:u w:val="none"/>
                <w:lang w:val="en-US" w:eastAsia="zh-CN" w:bidi="ar"/>
              </w:rPr>
              <w:br w:type="textWrapping"/>
            </w:r>
            <w:r>
              <w:rPr>
                <w:rFonts w:hint="eastAsia" w:ascii="楷体_GB2312" w:hAnsi="楷体_GB2312" w:eastAsia="楷体_GB2312" w:cs="楷体_GB2312"/>
                <w:i w:val="0"/>
                <w:color w:val="000000"/>
                <w:kern w:val="0"/>
                <w:sz w:val="22"/>
                <w:szCs w:val="22"/>
                <w:u w:val="none"/>
                <w:lang w:val="en-US" w:eastAsia="zh-CN" w:bidi="ar"/>
              </w:rPr>
              <w:t>砥砺前行，再创南泥湾辉煌</w:t>
            </w:r>
            <w:r>
              <w:rPr>
                <w:rFonts w:hint="eastAsia" w:ascii="楷体_GB2312" w:hAnsi="楷体_GB2312" w:eastAsia="楷体_GB2312" w:cs="楷体_GB2312"/>
                <w:i w:val="0"/>
                <w:color w:val="000000"/>
                <w:kern w:val="0"/>
                <w:sz w:val="22"/>
                <w:szCs w:val="22"/>
                <w:u w:val="none"/>
                <w:lang w:val="en-US" w:eastAsia="zh-CN" w:bidi="ar"/>
              </w:rPr>
              <w:br w:type="textWrapping"/>
            </w:r>
            <w:r>
              <w:rPr>
                <w:rFonts w:hint="eastAsia" w:ascii="楷体_GB2312" w:hAnsi="楷体_GB2312" w:eastAsia="楷体_GB2312" w:cs="楷体_GB2312"/>
                <w:i w:val="0"/>
                <w:color w:val="000000"/>
                <w:kern w:val="0"/>
                <w:sz w:val="22"/>
                <w:szCs w:val="22"/>
                <w:u w:val="none"/>
                <w:lang w:val="en-US" w:eastAsia="zh-CN" w:bidi="ar"/>
              </w:rPr>
              <w:t>—奋勇前进，争做新时代359旅传人</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刘振琴</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延安南泥湾（集团）有限责任公司</w:t>
            </w:r>
          </w:p>
        </w:tc>
      </w:tr>
      <w:tr>
        <w:tblPrEx>
          <w:shd w:val="clear" w:color="auto" w:fill="auto"/>
          <w:tblCellMar>
            <w:top w:w="0" w:type="dxa"/>
            <w:left w:w="0" w:type="dxa"/>
            <w:bottom w:w="0" w:type="dxa"/>
            <w:right w:w="0" w:type="dxa"/>
          </w:tblCellMar>
        </w:tblPrEx>
        <w:trPr>
          <w:trHeight w:val="646" w:hRule="atLeast"/>
        </w:trPr>
        <w:tc>
          <w:tcPr>
            <w:tcW w:w="849"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奋斗七十年 启航新征程</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孙远辉</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广东省湛江农垦局</w:t>
            </w:r>
          </w:p>
        </w:tc>
      </w:tr>
      <w:tr>
        <w:tblPrEx>
          <w:tblCellMar>
            <w:top w:w="0" w:type="dxa"/>
            <w:left w:w="0" w:type="dxa"/>
            <w:bottom w:w="0" w:type="dxa"/>
            <w:right w:w="0" w:type="dxa"/>
          </w:tblCellMar>
        </w:tblPrEx>
        <w:trPr>
          <w:trHeight w:val="702" w:hRule="atLeast"/>
        </w:trPr>
        <w:tc>
          <w:tcPr>
            <w:tcW w:w="849"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知青文化的双向动力</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杨延斌</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黑龙江省浩良河化肥厂</w:t>
            </w:r>
          </w:p>
        </w:tc>
      </w:tr>
      <w:tr>
        <w:tblPrEx>
          <w:shd w:val="clear" w:color="auto" w:fill="auto"/>
          <w:tblCellMar>
            <w:top w:w="0" w:type="dxa"/>
            <w:left w:w="0" w:type="dxa"/>
            <w:bottom w:w="0" w:type="dxa"/>
            <w:right w:w="0" w:type="dxa"/>
          </w:tblCellMar>
        </w:tblPrEx>
        <w:trPr>
          <w:trHeight w:val="646" w:hRule="atLeast"/>
        </w:trPr>
        <w:tc>
          <w:tcPr>
            <w:tcW w:w="849" w:type="pct"/>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栉风沐雨九十载  农垦精神不褪色</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任毅</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中垦乳业股份有限公司</w:t>
            </w:r>
          </w:p>
        </w:tc>
      </w:tr>
      <w:tr>
        <w:tblPrEx>
          <w:shd w:val="clear" w:color="auto" w:fill="auto"/>
          <w:tblCellMar>
            <w:top w:w="0" w:type="dxa"/>
            <w:left w:w="0" w:type="dxa"/>
            <w:bottom w:w="0" w:type="dxa"/>
            <w:right w:w="0" w:type="dxa"/>
          </w:tblCellMar>
        </w:tblPrEx>
        <w:trPr>
          <w:trHeight w:val="998" w:hRule="atLeast"/>
        </w:trPr>
        <w:tc>
          <w:tcPr>
            <w:tcW w:w="849" w:type="pct"/>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0"/>
                <w:sz w:val="22"/>
                <w:szCs w:val="22"/>
                <w:u w:val="none"/>
                <w:lang w:val="en-US" w:eastAsia="zh-CN" w:bidi="ar"/>
              </w:rPr>
            </w:pPr>
            <w:r>
              <w:rPr>
                <w:rFonts w:hint="eastAsia" w:ascii="楷体_GB2312" w:hAnsi="楷体_GB2312" w:eastAsia="楷体_GB2312" w:cs="楷体_GB2312"/>
                <w:i w:val="0"/>
                <w:color w:val="000000"/>
                <w:kern w:val="0"/>
                <w:sz w:val="22"/>
                <w:szCs w:val="22"/>
                <w:u w:val="none"/>
                <w:lang w:val="en-US" w:eastAsia="zh-CN" w:bidi="ar"/>
              </w:rPr>
              <w:t>特别故事奖</w:t>
            </w:r>
          </w:p>
          <w:p>
            <w:pPr>
              <w:keepNext w:val="0"/>
              <w:keepLines w:val="0"/>
              <w:widowControl/>
              <w:suppressLineNumbers w:val="0"/>
              <w:jc w:val="center"/>
              <w:textAlignment w:val="center"/>
              <w:rPr>
                <w:rFonts w:hint="default" w:ascii="楷体_GB2312" w:hAnsi="楷体_GB2312" w:eastAsia="楷体_GB2312" w:cs="楷体_GB2312"/>
                <w:i w:val="0"/>
                <w:color w:val="000000"/>
                <w:kern w:val="0"/>
                <w:sz w:val="22"/>
                <w:szCs w:val="22"/>
                <w:u w:val="none"/>
                <w:lang w:val="en-US" w:eastAsia="zh-CN" w:bidi="ar"/>
              </w:rPr>
            </w:pPr>
            <w:r>
              <w:rPr>
                <w:rFonts w:hint="eastAsia" w:ascii="楷体_GB2312" w:hAnsi="楷体_GB2312" w:eastAsia="楷体_GB2312" w:cs="楷体_GB2312"/>
                <w:i w:val="0"/>
                <w:color w:val="000000"/>
                <w:kern w:val="0"/>
                <w:sz w:val="22"/>
                <w:szCs w:val="22"/>
                <w:u w:val="none"/>
                <w:lang w:val="en-US" w:eastAsia="zh-CN" w:bidi="ar"/>
              </w:rPr>
              <w:t>（12篇）</w:t>
            </w: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三代人的初心 传承红土地上的奋斗使命</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孙远辉、刘惠冬</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广东省湛江农垦集团有限公司</w:t>
            </w:r>
          </w:p>
        </w:tc>
      </w:tr>
      <w:tr>
        <w:tblPrEx>
          <w:shd w:val="clear" w:color="auto" w:fill="auto"/>
          <w:tblCellMar>
            <w:top w:w="0" w:type="dxa"/>
            <w:left w:w="0" w:type="dxa"/>
            <w:bottom w:w="0" w:type="dxa"/>
            <w:right w:w="0" w:type="dxa"/>
          </w:tblCellMar>
        </w:tblPrEx>
        <w:trPr>
          <w:trHeight w:val="646" w:hRule="atLeast"/>
        </w:trPr>
        <w:tc>
          <w:tcPr>
            <w:tcW w:w="849"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沿着农建四师的脚步砥砺前行</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陆军</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江苏农垦淮海农场有限公司</w:t>
            </w:r>
          </w:p>
        </w:tc>
      </w:tr>
      <w:tr>
        <w:tblPrEx>
          <w:tblCellMar>
            <w:top w:w="0" w:type="dxa"/>
            <w:left w:w="0" w:type="dxa"/>
            <w:bottom w:w="0" w:type="dxa"/>
            <w:right w:w="0" w:type="dxa"/>
          </w:tblCellMar>
        </w:tblPrEx>
        <w:trPr>
          <w:trHeight w:val="772" w:hRule="atLeast"/>
        </w:trPr>
        <w:tc>
          <w:tcPr>
            <w:tcW w:w="849"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赤子情：漂洋过海来种胶——建垦归侨参加新中国天然橡胶建设纪事</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陈勇</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海南省社会科学院地方历史文化研究所</w:t>
            </w:r>
          </w:p>
        </w:tc>
      </w:tr>
      <w:tr>
        <w:tblPrEx>
          <w:shd w:val="clear" w:color="auto" w:fill="auto"/>
          <w:tblCellMar>
            <w:top w:w="0" w:type="dxa"/>
            <w:left w:w="0" w:type="dxa"/>
            <w:bottom w:w="0" w:type="dxa"/>
            <w:right w:w="0" w:type="dxa"/>
          </w:tblCellMar>
        </w:tblPrEx>
        <w:trPr>
          <w:trHeight w:val="674" w:hRule="atLeast"/>
        </w:trPr>
        <w:tc>
          <w:tcPr>
            <w:tcW w:w="849"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红兴隆</w:t>
            </w:r>
            <w:bookmarkStart w:id="0" w:name="_GoBack"/>
            <w:bookmarkEnd w:id="0"/>
            <w:r>
              <w:rPr>
                <w:rFonts w:hint="eastAsia" w:ascii="楷体_GB2312" w:hAnsi="楷体_GB2312" w:eastAsia="楷体_GB2312" w:cs="楷体_GB2312"/>
                <w:i w:val="0"/>
                <w:color w:val="000000"/>
                <w:kern w:val="0"/>
                <w:sz w:val="22"/>
                <w:szCs w:val="22"/>
                <w:u w:val="none"/>
                <w:lang w:val="en-US" w:eastAsia="zh-CN" w:bidi="ar"/>
              </w:rPr>
              <w:t>群像</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陆书鑫</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北大荒农垦集团有限公司红兴隆分公司</w:t>
            </w:r>
          </w:p>
        </w:tc>
      </w:tr>
      <w:tr>
        <w:tblPrEx>
          <w:tblCellMar>
            <w:top w:w="0" w:type="dxa"/>
            <w:left w:w="0" w:type="dxa"/>
            <w:bottom w:w="0" w:type="dxa"/>
            <w:right w:w="0" w:type="dxa"/>
          </w:tblCellMar>
        </w:tblPrEx>
        <w:trPr>
          <w:trHeight w:val="646" w:hRule="atLeast"/>
        </w:trPr>
        <w:tc>
          <w:tcPr>
            <w:tcW w:w="849"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踏着前辈的足迹前行</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李阳</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黑龙江垦区八五二农场</w:t>
            </w:r>
          </w:p>
        </w:tc>
      </w:tr>
      <w:tr>
        <w:tblPrEx>
          <w:shd w:val="clear" w:color="auto" w:fill="auto"/>
          <w:tblCellMar>
            <w:top w:w="0" w:type="dxa"/>
            <w:left w:w="0" w:type="dxa"/>
            <w:bottom w:w="0" w:type="dxa"/>
            <w:right w:w="0" w:type="dxa"/>
          </w:tblCellMar>
        </w:tblPrEx>
        <w:trPr>
          <w:trHeight w:val="646" w:hRule="atLeast"/>
        </w:trPr>
        <w:tc>
          <w:tcPr>
            <w:tcW w:w="849"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伟大的奠基者 ——叶剑英与新中国天然橡胶事业</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陆基民</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广东省农垦总局（退休干部）</w:t>
            </w:r>
          </w:p>
        </w:tc>
      </w:tr>
      <w:tr>
        <w:tblPrEx>
          <w:tblCellMar>
            <w:top w:w="0" w:type="dxa"/>
            <w:left w:w="0" w:type="dxa"/>
            <w:bottom w:w="0" w:type="dxa"/>
            <w:right w:w="0" w:type="dxa"/>
          </w:tblCellMar>
        </w:tblPrEx>
        <w:trPr>
          <w:trHeight w:val="957" w:hRule="atLeast"/>
        </w:trPr>
        <w:tc>
          <w:tcPr>
            <w:tcW w:w="849"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继承解放军传统 弘扬南泥湾精神 红兴隆“三地文化”赋予伟大实践创造性</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陆书鑫</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北大荒农垦集团有限公司红兴隆分公司</w:t>
            </w:r>
          </w:p>
        </w:tc>
      </w:tr>
      <w:tr>
        <w:tblPrEx>
          <w:shd w:val="clear" w:color="auto" w:fill="auto"/>
          <w:tblCellMar>
            <w:top w:w="0" w:type="dxa"/>
            <w:left w:w="0" w:type="dxa"/>
            <w:bottom w:w="0" w:type="dxa"/>
            <w:right w:w="0" w:type="dxa"/>
          </w:tblCellMar>
        </w:tblPrEx>
        <w:trPr>
          <w:trHeight w:val="646" w:hRule="atLeast"/>
        </w:trPr>
        <w:tc>
          <w:tcPr>
            <w:tcW w:w="849"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从“巨浪”到“牧场”</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张帝龙</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黑龙江农垦巨浪牧场</w:t>
            </w:r>
          </w:p>
        </w:tc>
      </w:tr>
      <w:tr>
        <w:tblPrEx>
          <w:tblCellMar>
            <w:top w:w="0" w:type="dxa"/>
            <w:left w:w="0" w:type="dxa"/>
            <w:bottom w:w="0" w:type="dxa"/>
            <w:right w:w="0" w:type="dxa"/>
          </w:tblCellMar>
        </w:tblPrEx>
        <w:trPr>
          <w:trHeight w:val="1101" w:hRule="atLeast"/>
        </w:trPr>
        <w:tc>
          <w:tcPr>
            <w:tcW w:w="849"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我和我的农垦</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姚光胜、刘彦阳、刘璐</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江西省农垦事业管理办公室、江西九江市庐山综合垦殖场</w:t>
            </w:r>
          </w:p>
        </w:tc>
      </w:tr>
      <w:tr>
        <w:tblPrEx>
          <w:tblCellMar>
            <w:top w:w="0" w:type="dxa"/>
            <w:left w:w="0" w:type="dxa"/>
            <w:bottom w:w="0" w:type="dxa"/>
            <w:right w:w="0" w:type="dxa"/>
          </w:tblCellMar>
        </w:tblPrEx>
        <w:trPr>
          <w:trHeight w:val="728" w:hRule="atLeast"/>
        </w:trPr>
        <w:tc>
          <w:tcPr>
            <w:tcW w:w="849"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履职践诺 传承农垦精神</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姜琮玮</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北大荒集团克山农场有限公司</w:t>
            </w:r>
          </w:p>
        </w:tc>
      </w:tr>
      <w:tr>
        <w:tblPrEx>
          <w:shd w:val="clear" w:color="auto" w:fill="auto"/>
          <w:tblCellMar>
            <w:top w:w="0" w:type="dxa"/>
            <w:left w:w="0" w:type="dxa"/>
            <w:bottom w:w="0" w:type="dxa"/>
            <w:right w:w="0" w:type="dxa"/>
          </w:tblCellMar>
        </w:tblPrEx>
        <w:trPr>
          <w:trHeight w:val="957" w:hRule="atLeast"/>
        </w:trPr>
        <w:tc>
          <w:tcPr>
            <w:tcW w:w="849"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承传南泥湾精神 打造绿色农业航母</w:t>
            </w:r>
            <w:r>
              <w:rPr>
                <w:rFonts w:hint="eastAsia" w:ascii="楷体_GB2312" w:hAnsi="楷体_GB2312" w:eastAsia="楷体_GB2312" w:cs="楷体_GB2312"/>
                <w:i w:val="0"/>
                <w:color w:val="000000"/>
                <w:kern w:val="0"/>
                <w:sz w:val="22"/>
                <w:szCs w:val="22"/>
                <w:u w:val="none"/>
                <w:lang w:val="en-US" w:eastAsia="zh-CN" w:bidi="ar"/>
              </w:rPr>
              <w:br w:type="textWrapping"/>
            </w:r>
            <w:r>
              <w:rPr>
                <w:rFonts w:hint="eastAsia" w:ascii="楷体_GB2312" w:hAnsi="楷体_GB2312" w:eastAsia="楷体_GB2312" w:cs="楷体_GB2312"/>
                <w:i w:val="0"/>
                <w:color w:val="000000"/>
                <w:kern w:val="0"/>
                <w:sz w:val="22"/>
                <w:szCs w:val="22"/>
                <w:u w:val="none"/>
                <w:lang w:val="en-US" w:eastAsia="zh-CN" w:bidi="ar"/>
              </w:rPr>
              <w:t>——黑龙江省农垦建三江分公司打造绿色品牌稻米侧记</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李凤</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黑龙江省农垦红卫农场有限公司学校</w:t>
            </w:r>
          </w:p>
        </w:tc>
      </w:tr>
      <w:tr>
        <w:tblPrEx>
          <w:shd w:val="clear" w:color="auto" w:fill="auto"/>
          <w:tblCellMar>
            <w:top w:w="0" w:type="dxa"/>
            <w:left w:w="0" w:type="dxa"/>
            <w:bottom w:w="0" w:type="dxa"/>
            <w:right w:w="0" w:type="dxa"/>
          </w:tblCellMar>
        </w:tblPrEx>
        <w:trPr>
          <w:trHeight w:val="836" w:hRule="atLeast"/>
        </w:trPr>
        <w:tc>
          <w:tcPr>
            <w:tcW w:w="849" w:type="pct"/>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kern w:val="2"/>
                <w:sz w:val="22"/>
                <w:szCs w:val="22"/>
                <w:u w:val="none"/>
                <w:lang w:val="en-US" w:eastAsia="zh-CN" w:bidi="ar-SA"/>
              </w:rPr>
            </w:pPr>
          </w:p>
        </w:tc>
        <w:tc>
          <w:tcPr>
            <w:tcW w:w="219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世界屋脊上的骆驼队</w:t>
            </w:r>
          </w:p>
        </w:tc>
        <w:tc>
          <w:tcPr>
            <w:tcW w:w="671"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张存虎</w:t>
            </w:r>
          </w:p>
        </w:tc>
        <w:tc>
          <w:tcPr>
            <w:tcW w:w="1280"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楷体_GB2312" w:hAnsi="楷体_GB2312" w:eastAsia="楷体_GB2312" w:cs="楷体_GB2312"/>
                <w:i w:val="0"/>
                <w:color w:val="000000"/>
                <w:sz w:val="22"/>
                <w:szCs w:val="22"/>
                <w:u w:val="none"/>
              </w:rPr>
            </w:pPr>
            <w:r>
              <w:rPr>
                <w:rFonts w:hint="eastAsia" w:ascii="楷体_GB2312" w:hAnsi="楷体_GB2312" w:eastAsia="楷体_GB2312" w:cs="楷体_GB2312"/>
                <w:i w:val="0"/>
                <w:color w:val="000000"/>
                <w:kern w:val="0"/>
                <w:sz w:val="22"/>
                <w:szCs w:val="22"/>
                <w:u w:val="none"/>
                <w:lang w:val="en-US" w:eastAsia="zh-CN" w:bidi="ar"/>
              </w:rPr>
              <w:t>青海省柴达木农垦集团莫河骆驼场公司</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BE219C"/>
    <w:rsid w:val="21C3190D"/>
    <w:rsid w:val="3A294FC9"/>
    <w:rsid w:val="57425A76"/>
    <w:rsid w:val="6B171C86"/>
    <w:rsid w:val="78CC27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style>
  <w:style w:type="paragraph" w:styleId="3">
    <w:name w:val="Body Text First Indent 2"/>
    <w:basedOn w:val="2"/>
    <w:qFormat/>
    <w:uiPriority w:val="0"/>
    <w:pPr>
      <w:ind w:firstLine="420" w:firstLineChars="200"/>
    </w:pPr>
  </w:style>
  <w:style w:type="paragraph" w:customStyle="1" w:styleId="6">
    <w:name w:val="审议稿副标题"/>
    <w:basedOn w:val="1"/>
    <w:qFormat/>
    <w:uiPriority w:val="0"/>
    <w:pPr>
      <w:jc w:val="center"/>
    </w:pPr>
    <w:rPr>
      <w:rFonts w:eastAsia="楷体" w:asciiTheme="minorAscii" w:hAnsiTheme="minorAscii"/>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2021-06-02T00:57:00Z</dcterms:created>
  <dc:creator>Xiao</dc:creator>
  <cp:lastModifiedBy>Holly</cp:lastModifiedBy>
  <dcterms:modified xsi:type="dcterms:W3CDTF">2021-08-03T00:43:17Z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2052-11.1.0.10388</vt:lpwstr>
  </property>
  <property fmtid="{D5CDD505-2E9C-101B-9397-08002B2CF9AE}" pid="3" name="ICV">
    <vt:lpwstr>1EE822C0BBB6400B94C3A490DEC74115</vt:lpwstr>
  </property>
</Properties>
</file>